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F2D947" w14:textId="521BE0AD" w:rsidR="00420E1D" w:rsidRPr="00420E1D" w:rsidRDefault="00420E1D" w:rsidP="00D74917">
      <w:pPr>
        <w:bidi/>
      </w:pPr>
      <w:r w:rsidRPr="00420E1D">
        <w:rPr>
          <w:b/>
          <w:bCs/>
          <w:rtl/>
          <w:lang w:eastAsia="ar"/>
        </w:rPr>
        <w:t>أنظمة معالجة المياه</w:t>
      </w:r>
      <w:bookmarkStart w:id="0" w:name="_GoBack"/>
      <w:bookmarkEnd w:id="0"/>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bidi/>
              <w:jc w:val="center"/>
              <w:rPr>
                <w:b/>
              </w:rPr>
            </w:pPr>
            <w:r w:rsidRPr="00420E1D">
              <w:rPr>
                <w:b/>
                <w:bCs/>
                <w:rtl/>
                <w:lang w:eastAsia="ar"/>
              </w:rPr>
              <w:t>الرقم</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27D23413" w:rsidR="00420E1D" w:rsidRPr="00420E1D" w:rsidRDefault="00A91C6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bidi/>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bidi/>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bidi/>
              <w:jc w:val="left"/>
              <w:rPr>
                <w:b/>
                <w:bCs/>
              </w:rPr>
            </w:pPr>
            <w:r w:rsidRPr="00420E1D">
              <w:rPr>
                <w:b/>
                <w:bCs/>
                <w:rtl/>
                <w:lang w:eastAsia="ar"/>
              </w:rPr>
              <w:t>أنظمة معالجة المياه</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bidi/>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النظام ومعاينته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تقييم المخاطر</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في النظام في الموقع (على النحو الموصى به من الجهات المُصنّعة للمعدات الأصلية)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الواردة/ تزويد المياه للنظام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المعاينة اليومية لجرعة الكلور للمواد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عينات المياه واختبارها يوميًا</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التحكم الآلي في مراقبة جودة المياه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إنذار أنظمة إدارة المباني/الفحص المرتبط بالأعطال لحالة المحطات</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معايرة حساس الكلور</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 xml:space="preserve">التحقق من درجة الحرارة يوميًا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حفظ السجلات وإعداد التقارير</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مراجعة إجراءات التشغيل الموحدة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تنظيف الأنظمة بالمياه يوميًا</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الغسيل العكسي يوميًا</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نقطة الدخول وتوزيع المياه المتبقية</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نقاط أخذ عينات المياه وأخذ العينات</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مجموعة أدوات اختبار المياه المتاحة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تفقّد مستوى المواد الكيميائية</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مخزون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الجدول الزمني لجمع العينات والفحص اليومي للنظام</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مستويات خزانات توزيع المياه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بركة/حوض برج التبريد</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استبدال خرطوشة أنظمة الترشيح ومعاينتها</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درجة الحرارة والضغط القياسيين ومنافيخ الهواء ومعاينتها يوميًا</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26" w:type="dxa"/>
            <w:gridSpan w:val="3"/>
            <w:tcBorders>
              <w:top w:val="single" w:sz="4" w:space="0" w:color="auto"/>
              <w:bottom w:val="single" w:sz="4" w:space="0" w:color="auto"/>
            </w:tcBorders>
            <w:shd w:val="clear" w:color="auto" w:fill="auto"/>
            <w:vAlign w:val="center"/>
          </w:tcPr>
          <w:p w14:paraId="598CA78A" w14:textId="3CCD21A5"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تحليل أخذ عينات المو</w:t>
            </w:r>
            <w:r w:rsidR="00C031A9">
              <w:rPr>
                <w:rFonts w:cs="Arial"/>
                <w:sz w:val="18"/>
                <w:szCs w:val="18"/>
                <w:rtl/>
                <w:lang w:eastAsia="ar"/>
              </w:rPr>
              <w:t>اد الكيميائية للمياه واختبارها</w:t>
            </w:r>
            <w:r w:rsidR="00C031A9">
              <w:rPr>
                <w:rFonts w:cs="Arial" w:hint="cs"/>
                <w:sz w:val="18"/>
                <w:szCs w:val="18"/>
                <w:rtl/>
                <w:lang w:eastAsia="ar"/>
              </w:rPr>
              <w:t xml:space="preserve"> و</w:t>
            </w:r>
            <w:r w:rsidRPr="00420E1D">
              <w:rPr>
                <w:rFonts w:cs="Arial"/>
                <w:sz w:val="18"/>
                <w:szCs w:val="18"/>
                <w:rtl/>
                <w:lang w:eastAsia="ar"/>
              </w:rPr>
              <w:t>فحص التحليل الميكروبيولوجي وتحليل البكتيريا الفيلقية</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جميع وحدات التحكم الآلي في الكلور للأنظمة وإجراء فحص إعدادات المضخات</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تصريف جميع محطات معالجة المياه وفحص نقاط التصريف</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bidi/>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bidi/>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bidi/>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bidi/>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bidi/>
              <w:spacing w:before="40" w:after="40"/>
              <w:jc w:val="left"/>
              <w:rPr>
                <w:rFonts w:cs="Arial"/>
              </w:rPr>
            </w:pPr>
          </w:p>
        </w:tc>
      </w:tr>
    </w:tbl>
    <w:p w14:paraId="0C70AB61" w14:textId="5C44C52E" w:rsidR="00420E1D" w:rsidRPr="00420E1D" w:rsidRDefault="00420E1D" w:rsidP="00C031A9">
      <w:pPr>
        <w:bidi/>
        <w:rPr>
          <w:b/>
          <w:bCs/>
        </w:rPr>
      </w:pPr>
      <w:r w:rsidRPr="00420E1D">
        <w:rPr>
          <w:color w:val="215868" w:themeColor="accent5" w:themeShade="80"/>
          <w:rtl/>
          <w:lang w:eastAsia="ar"/>
        </w:rPr>
        <w:br w:type="page"/>
      </w:r>
      <w:r w:rsidRPr="00420E1D">
        <w:rPr>
          <w:b/>
          <w:bCs/>
          <w:rtl/>
          <w:lang w:eastAsia="ar"/>
        </w:rPr>
        <w:lastRenderedPageBreak/>
        <w:t xml:space="preserve">أنظمة السباكة </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03FCF11B" w:rsidR="00420E1D" w:rsidRPr="00420E1D" w:rsidRDefault="00A91C6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bidi/>
              <w:jc w:val="left"/>
              <w:rPr>
                <w:b/>
                <w:bCs/>
              </w:rPr>
            </w:pPr>
            <w:r w:rsidRPr="00420E1D">
              <w:rPr>
                <w:b/>
                <w:bCs/>
                <w:rtl/>
                <w:lang w:eastAsia="ar"/>
              </w:rPr>
              <w:t xml:space="preserve">أنظمة السباكة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bidi/>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تسرب خطوط الأنابيب لجميع الأنظمة</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التحقق من أي تدفق فائض في الأنظمة ناتج عن الانسداد/إعاقة المرور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مراقبة درجة حرارة المياه المرتبطة بأنابيب الأنظمة</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ربط نظام إدارة المباني بجميع أنظمة السباكة</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أدوات السباكة وقطع الغيار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المناطق ذات المرشّ اليدوي، والصنابير ذات المصافي/فحص التحقق من التطهير لتقييد التدفق</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سخانات المياه</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خلاطات الماء الساخن والماء البارد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علامات تآكل الأنابيب</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ضغط الماء في خط الأنابيب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الصمامات للتشغيل الصحيح</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فتح وإغلاق الصمامات بجميع أنواعها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قراءة عداد المياه على أساس يومي</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مصارف المياه من الانسدادات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التدفق العكسي للمياه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تدفق المياه في الأنابيب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أنواع الضوضاء الصادرة عن المضخات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مستويات المياه في الخزانات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bidi/>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bidi/>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bidi/>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bidi/>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bidi/>
              <w:spacing w:before="40" w:after="40"/>
              <w:jc w:val="left"/>
              <w:rPr>
                <w:rFonts w:cs="Arial"/>
              </w:rPr>
            </w:pPr>
          </w:p>
        </w:tc>
      </w:tr>
    </w:tbl>
    <w:p w14:paraId="7C8F6C81" w14:textId="77777777" w:rsidR="00420E1D" w:rsidRPr="00420E1D" w:rsidRDefault="00420E1D" w:rsidP="00420E1D">
      <w:pPr>
        <w:bidi/>
        <w:rPr>
          <w:b/>
          <w:bCs/>
        </w:rPr>
      </w:pPr>
    </w:p>
    <w:p w14:paraId="05766E58" w14:textId="5964FE63" w:rsidR="00420E1D" w:rsidRPr="00420E1D" w:rsidRDefault="00420E1D" w:rsidP="00394053">
      <w:pPr>
        <w:bidi/>
        <w:rPr>
          <w:b/>
          <w:bCs/>
        </w:rPr>
      </w:pPr>
      <w:r w:rsidRPr="00420E1D">
        <w:rPr>
          <w:color w:val="215868" w:themeColor="accent5" w:themeShade="80"/>
          <w:rtl/>
          <w:lang w:eastAsia="ar"/>
        </w:rPr>
        <w:br w:type="page"/>
      </w:r>
      <w:r w:rsidRPr="00420E1D">
        <w:rPr>
          <w:b/>
          <w:bCs/>
          <w:rtl/>
          <w:lang w:eastAsia="ar"/>
        </w:rPr>
        <w:lastRenderedPageBreak/>
        <w:t>أنظمة المولدات</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15C5E376"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3B3DD9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36B1B92" w14:textId="770F09AE" w:rsidR="00420E1D" w:rsidRPr="00420E1D" w:rsidRDefault="00A91C6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449D5B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F9871D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bidi/>
              <w:jc w:val="left"/>
              <w:rPr>
                <w:b/>
                <w:bCs/>
              </w:rPr>
            </w:pPr>
            <w:r w:rsidRPr="00420E1D">
              <w:rPr>
                <w:b/>
                <w:bCs/>
                <w:rtl/>
                <w:lang w:eastAsia="ar"/>
              </w:rPr>
              <w:t xml:space="preserve">أنظمة المولدات </w:t>
            </w:r>
          </w:p>
        </w:tc>
        <w:tc>
          <w:tcPr>
            <w:tcW w:w="508" w:type="dxa"/>
            <w:gridSpan w:val="2"/>
            <w:shd w:val="clear" w:color="auto" w:fill="C6D9F1" w:themeFill="text2" w:themeFillTint="33"/>
            <w:vAlign w:val="center"/>
          </w:tcPr>
          <w:p w14:paraId="1DEE392F"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bidi/>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2BFE6C5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التسرب لنظام المحرك، والعادم، ونظام التبريد، والوقود والأنظمة الكهربائية للتيار المستمر</w:t>
            </w:r>
          </w:p>
        </w:tc>
        <w:tc>
          <w:tcPr>
            <w:tcW w:w="508" w:type="dxa"/>
            <w:gridSpan w:val="2"/>
            <w:shd w:val="clear" w:color="auto" w:fill="C6D9F1" w:themeFill="text2" w:themeFillTint="33"/>
            <w:vAlign w:val="center"/>
          </w:tcPr>
          <w:p w14:paraId="5A8F62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7059443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خدمات الزيوت والتشحيم </w:t>
            </w:r>
          </w:p>
        </w:tc>
        <w:tc>
          <w:tcPr>
            <w:tcW w:w="508" w:type="dxa"/>
            <w:gridSpan w:val="2"/>
            <w:shd w:val="clear" w:color="auto" w:fill="C6D9F1" w:themeFill="text2" w:themeFillTint="33"/>
            <w:vAlign w:val="center"/>
          </w:tcPr>
          <w:p w14:paraId="2B9C058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1DED66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البطارية </w:t>
            </w:r>
          </w:p>
        </w:tc>
        <w:tc>
          <w:tcPr>
            <w:tcW w:w="508" w:type="dxa"/>
            <w:gridSpan w:val="2"/>
            <w:shd w:val="clear" w:color="auto" w:fill="C6D9F1" w:themeFill="text2" w:themeFillTint="33"/>
            <w:vAlign w:val="center"/>
          </w:tcPr>
          <w:p w14:paraId="0CD4DC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38C1DAD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تقييم الحالة العامة </w:t>
            </w:r>
          </w:p>
        </w:tc>
        <w:tc>
          <w:tcPr>
            <w:tcW w:w="508" w:type="dxa"/>
            <w:gridSpan w:val="2"/>
            <w:shd w:val="clear" w:color="auto" w:fill="C6D9F1" w:themeFill="text2" w:themeFillTint="33"/>
            <w:vAlign w:val="center"/>
          </w:tcPr>
          <w:p w14:paraId="7FF5DA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506979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إجراءات التحقق الفعلية والبصرية لمولد الديزل </w:t>
            </w:r>
          </w:p>
        </w:tc>
        <w:tc>
          <w:tcPr>
            <w:tcW w:w="508" w:type="dxa"/>
            <w:gridSpan w:val="2"/>
            <w:shd w:val="clear" w:color="auto" w:fill="C6D9F1" w:themeFill="text2" w:themeFillTint="33"/>
            <w:vAlign w:val="center"/>
          </w:tcPr>
          <w:p w14:paraId="795799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43C8B6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لوحة التحكم في المولدات</w:t>
            </w:r>
          </w:p>
        </w:tc>
        <w:tc>
          <w:tcPr>
            <w:tcW w:w="508" w:type="dxa"/>
            <w:gridSpan w:val="2"/>
            <w:shd w:val="clear" w:color="auto" w:fill="C6D9F1" w:themeFill="text2" w:themeFillTint="33"/>
            <w:vAlign w:val="center"/>
          </w:tcPr>
          <w:p w14:paraId="06193D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أحزمة المروحة وتعديلها إذا لزم الأمر </w:t>
            </w:r>
          </w:p>
        </w:tc>
        <w:tc>
          <w:tcPr>
            <w:tcW w:w="508" w:type="dxa"/>
            <w:gridSpan w:val="2"/>
            <w:shd w:val="clear" w:color="auto" w:fill="C6D9F1" w:themeFill="text2" w:themeFillTint="33"/>
            <w:vAlign w:val="center"/>
          </w:tcPr>
          <w:p w14:paraId="594B5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أنظمة الإمداد بالوقود بحثًا عن التسربات أو المستوى المتدني </w:t>
            </w:r>
          </w:p>
        </w:tc>
        <w:tc>
          <w:tcPr>
            <w:tcW w:w="508" w:type="dxa"/>
            <w:gridSpan w:val="2"/>
            <w:shd w:val="clear" w:color="auto" w:fill="C6D9F1" w:themeFill="text2" w:themeFillTint="33"/>
            <w:vAlign w:val="center"/>
          </w:tcPr>
          <w:p w14:paraId="187012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تغيير فلاتر الزيت والتشحيم</w:t>
            </w:r>
          </w:p>
        </w:tc>
        <w:tc>
          <w:tcPr>
            <w:tcW w:w="508" w:type="dxa"/>
            <w:gridSpan w:val="2"/>
            <w:shd w:val="clear" w:color="auto" w:fill="C6D9F1" w:themeFill="text2" w:themeFillTint="33"/>
            <w:vAlign w:val="center"/>
          </w:tcPr>
          <w:p w14:paraId="0AA9DFA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026EEBD3" w14:textId="3B4F81C3"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تغيير عناصر زيت الوقود</w:t>
            </w:r>
          </w:p>
        </w:tc>
        <w:tc>
          <w:tcPr>
            <w:tcW w:w="508" w:type="dxa"/>
            <w:gridSpan w:val="2"/>
            <w:shd w:val="clear" w:color="auto" w:fill="C6D9F1" w:themeFill="text2" w:themeFillTint="33"/>
            <w:vAlign w:val="center"/>
          </w:tcPr>
          <w:p w14:paraId="7459C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7A4D8B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الأنابيب المتشعبة والدعائم والتركيبات والوصلات المرنة </w:t>
            </w:r>
          </w:p>
        </w:tc>
        <w:tc>
          <w:tcPr>
            <w:tcW w:w="508" w:type="dxa"/>
            <w:gridSpan w:val="2"/>
            <w:shd w:val="clear" w:color="auto" w:fill="C6D9F1" w:themeFill="text2" w:themeFillTint="33"/>
            <w:vAlign w:val="center"/>
          </w:tcPr>
          <w:p w14:paraId="0BF4D7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70400DF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مستوى سائل التبريد والحفاظ على درجة آمنة من الحماية</w:t>
            </w:r>
          </w:p>
        </w:tc>
        <w:tc>
          <w:tcPr>
            <w:tcW w:w="508" w:type="dxa"/>
            <w:gridSpan w:val="2"/>
            <w:shd w:val="clear" w:color="auto" w:fill="C6D9F1" w:themeFill="text2" w:themeFillTint="33"/>
            <w:vAlign w:val="center"/>
          </w:tcPr>
          <w:p w14:paraId="6464C2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7A0B69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صرة البكرة والمحامل وتشحيمها إذا لزم الأمر </w:t>
            </w:r>
          </w:p>
        </w:tc>
        <w:tc>
          <w:tcPr>
            <w:tcW w:w="508" w:type="dxa"/>
            <w:gridSpan w:val="2"/>
            <w:shd w:val="clear" w:color="auto" w:fill="C6D9F1" w:themeFill="text2" w:themeFillTint="33"/>
            <w:vAlign w:val="center"/>
          </w:tcPr>
          <w:p w14:paraId="7B8A7D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4281C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مضخة الماء أو محرك المروحة</w:t>
            </w:r>
          </w:p>
        </w:tc>
        <w:tc>
          <w:tcPr>
            <w:tcW w:w="508" w:type="dxa"/>
            <w:gridSpan w:val="2"/>
            <w:shd w:val="clear" w:color="auto" w:fill="C6D9F1" w:themeFill="text2" w:themeFillTint="33"/>
            <w:vAlign w:val="center"/>
          </w:tcPr>
          <w:p w14:paraId="080F81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7BAD759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فتحات التهوية الأوتوماتيكية</w:t>
            </w:r>
          </w:p>
        </w:tc>
        <w:tc>
          <w:tcPr>
            <w:tcW w:w="508" w:type="dxa"/>
            <w:gridSpan w:val="2"/>
            <w:shd w:val="clear" w:color="auto" w:fill="C6D9F1" w:themeFill="text2" w:themeFillTint="33"/>
            <w:vAlign w:val="center"/>
          </w:tcPr>
          <w:p w14:paraId="48862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75F4092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سخانات مياه الدثار</w:t>
            </w:r>
          </w:p>
        </w:tc>
        <w:tc>
          <w:tcPr>
            <w:tcW w:w="508" w:type="dxa"/>
            <w:gridSpan w:val="2"/>
            <w:shd w:val="clear" w:color="auto" w:fill="C6D9F1" w:themeFill="text2" w:themeFillTint="33"/>
            <w:vAlign w:val="center"/>
          </w:tcPr>
          <w:p w14:paraId="2E11019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64CBD65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الشاحن و/أو مولّد التيار المتناوب</w:t>
            </w:r>
          </w:p>
        </w:tc>
        <w:tc>
          <w:tcPr>
            <w:tcW w:w="508" w:type="dxa"/>
            <w:gridSpan w:val="2"/>
            <w:shd w:val="clear" w:color="auto" w:fill="C6D9F1" w:themeFill="text2" w:themeFillTint="33"/>
            <w:vAlign w:val="center"/>
          </w:tcPr>
          <w:p w14:paraId="7AEAAFE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D03E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مضخات النقل</w:t>
            </w:r>
          </w:p>
        </w:tc>
        <w:tc>
          <w:tcPr>
            <w:tcW w:w="508" w:type="dxa"/>
            <w:gridSpan w:val="2"/>
            <w:shd w:val="clear" w:color="auto" w:fill="C6D9F1" w:themeFill="text2" w:themeFillTint="33"/>
            <w:vAlign w:val="center"/>
          </w:tcPr>
          <w:p w14:paraId="596C01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528A798F" w14:textId="137571E3" w:rsidR="00420E1D" w:rsidRPr="00420E1D" w:rsidRDefault="00B052E9" w:rsidP="000804E5">
            <w:pPr>
              <w:bidi/>
              <w:spacing w:before="40" w:after="40"/>
              <w:jc w:val="left"/>
              <w:rPr>
                <w:rFonts w:cs="Arial"/>
                <w:sz w:val="18"/>
                <w:szCs w:val="18"/>
              </w:rPr>
            </w:pPr>
            <w:r w:rsidRPr="00200F2D">
              <w:rPr>
                <w:rFonts w:cs="Arial"/>
                <w:sz w:val="18"/>
                <w:szCs w:val="18"/>
                <w:rtl/>
                <w:lang w:eastAsia="ar"/>
              </w:rPr>
              <w:t xml:space="preserve">التحقق من </w:t>
            </w:r>
            <w:r>
              <w:rPr>
                <w:rFonts w:cs="Arial" w:hint="cs"/>
                <w:sz w:val="18"/>
                <w:szCs w:val="18"/>
                <w:rtl/>
                <w:lang w:eastAsia="ar"/>
              </w:rPr>
              <w:t>الجهد والتردد الصحيح الناتج عن المولد</w:t>
            </w:r>
          </w:p>
        </w:tc>
        <w:tc>
          <w:tcPr>
            <w:tcW w:w="508" w:type="dxa"/>
            <w:gridSpan w:val="2"/>
            <w:shd w:val="clear" w:color="auto" w:fill="C6D9F1" w:themeFill="text2" w:themeFillTint="33"/>
            <w:vAlign w:val="center"/>
          </w:tcPr>
          <w:p w14:paraId="25665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34CE87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عمل أجهزة قياس الفولت والآمبير للتحكم بالمولّد</w:t>
            </w:r>
          </w:p>
        </w:tc>
        <w:tc>
          <w:tcPr>
            <w:tcW w:w="508" w:type="dxa"/>
            <w:gridSpan w:val="2"/>
            <w:shd w:val="clear" w:color="auto" w:fill="C6D9F1" w:themeFill="text2" w:themeFillTint="33"/>
            <w:vAlign w:val="center"/>
          </w:tcPr>
          <w:p w14:paraId="723840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311F212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1247656E"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bidi/>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bidi/>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bidi/>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bidi/>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39261D8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bidi/>
              <w:spacing w:before="40" w:after="40"/>
              <w:jc w:val="left"/>
              <w:rPr>
                <w:rFonts w:cs="Arial"/>
              </w:rPr>
            </w:pPr>
          </w:p>
        </w:tc>
      </w:tr>
    </w:tbl>
    <w:p w14:paraId="72759773" w14:textId="77777777" w:rsidR="00420E1D" w:rsidRPr="00420E1D" w:rsidRDefault="00420E1D" w:rsidP="00420E1D">
      <w:pPr>
        <w:bidi/>
      </w:pPr>
    </w:p>
    <w:p w14:paraId="243FFB2F" w14:textId="77777777" w:rsidR="00420E1D" w:rsidRPr="00420E1D" w:rsidRDefault="00420E1D" w:rsidP="00420E1D">
      <w:pPr>
        <w:bidi/>
        <w:jc w:val="left"/>
        <w:rPr>
          <w:b/>
          <w:bCs/>
          <w:color w:val="215868" w:themeColor="accent5" w:themeShade="80"/>
        </w:rPr>
      </w:pPr>
      <w:r w:rsidRPr="00420E1D">
        <w:rPr>
          <w:b/>
          <w:bCs/>
          <w:color w:val="215868" w:themeColor="accent5" w:themeShade="80"/>
          <w:rtl/>
          <w:lang w:eastAsia="ar"/>
        </w:rPr>
        <w:br w:type="page"/>
      </w:r>
    </w:p>
    <w:p w14:paraId="59577183" w14:textId="22703CDA" w:rsidR="00420E1D" w:rsidRPr="00420E1D" w:rsidRDefault="00420E1D" w:rsidP="00394053">
      <w:pPr>
        <w:bidi/>
        <w:rPr>
          <w:b/>
          <w:bCs/>
        </w:rPr>
      </w:pPr>
      <w:r w:rsidRPr="00420E1D">
        <w:rPr>
          <w:b/>
          <w:bCs/>
          <w:rtl/>
          <w:lang w:eastAsia="ar"/>
        </w:rPr>
        <w:lastRenderedPageBreak/>
        <w:t>أنظمة الحماية من الحرائق</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4BADF0B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AF8991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01B14A3" w14:textId="0F788909" w:rsidR="00420E1D" w:rsidRPr="00420E1D" w:rsidRDefault="00A91C6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F6D1775"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67298E3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bidi/>
              <w:jc w:val="left"/>
              <w:rPr>
                <w:b/>
                <w:bCs/>
              </w:rPr>
            </w:pPr>
            <w:r w:rsidRPr="00420E1D">
              <w:rPr>
                <w:b/>
                <w:bCs/>
                <w:rtl/>
                <w:lang w:eastAsia="ar"/>
              </w:rPr>
              <w:t xml:space="preserve">أنظمة الحماية من الحرائق </w:t>
            </w:r>
          </w:p>
        </w:tc>
        <w:tc>
          <w:tcPr>
            <w:tcW w:w="508" w:type="dxa"/>
            <w:gridSpan w:val="2"/>
            <w:shd w:val="clear" w:color="auto" w:fill="C6D9F1" w:themeFill="text2" w:themeFillTint="33"/>
            <w:vAlign w:val="center"/>
          </w:tcPr>
          <w:p w14:paraId="72652071"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bidi/>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7AF2F1D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لوحة الإنذار من الحرائق للتأكد من أنّ أجهزة الإنذار تعمل بشكل مناسب في وقت المعاينة</w:t>
            </w:r>
          </w:p>
        </w:tc>
        <w:tc>
          <w:tcPr>
            <w:tcW w:w="508" w:type="dxa"/>
            <w:gridSpan w:val="2"/>
            <w:shd w:val="clear" w:color="auto" w:fill="C6D9F1" w:themeFill="text2" w:themeFillTint="33"/>
            <w:vAlign w:val="center"/>
          </w:tcPr>
          <w:p w14:paraId="5533A2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52BCE7D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جهاز بيان الإنذار بشكل صحيح في وقت المعاينة</w:t>
            </w:r>
          </w:p>
        </w:tc>
        <w:tc>
          <w:tcPr>
            <w:tcW w:w="508" w:type="dxa"/>
            <w:gridSpan w:val="2"/>
            <w:shd w:val="clear" w:color="auto" w:fill="C6D9F1" w:themeFill="text2" w:themeFillTint="33"/>
            <w:vAlign w:val="center"/>
          </w:tcPr>
          <w:p w14:paraId="3417A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ED8847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أجهزة بدء الإشارة الإشرافية بشكل صحيح في وقت المعاينة</w:t>
            </w:r>
          </w:p>
        </w:tc>
        <w:tc>
          <w:tcPr>
            <w:tcW w:w="508" w:type="dxa"/>
            <w:gridSpan w:val="2"/>
            <w:shd w:val="clear" w:color="auto" w:fill="C6D9F1" w:themeFill="text2" w:themeFillTint="33"/>
            <w:vAlign w:val="center"/>
          </w:tcPr>
          <w:p w14:paraId="535DFC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43F727A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مصادر الإمداد بالطاقة للنظام بما في ذلك البطاريات الاحتياطية كافية في وقت المعاينة</w:t>
            </w:r>
          </w:p>
        </w:tc>
        <w:tc>
          <w:tcPr>
            <w:tcW w:w="508" w:type="dxa"/>
            <w:gridSpan w:val="2"/>
            <w:shd w:val="clear" w:color="auto" w:fill="C6D9F1" w:themeFill="text2" w:themeFillTint="33"/>
            <w:vAlign w:val="center"/>
          </w:tcPr>
          <w:p w14:paraId="7BB914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2136F70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الحمل للبطاريات</w:t>
            </w:r>
          </w:p>
        </w:tc>
        <w:tc>
          <w:tcPr>
            <w:tcW w:w="508" w:type="dxa"/>
            <w:gridSpan w:val="2"/>
            <w:shd w:val="clear" w:color="auto" w:fill="C6D9F1" w:themeFill="text2" w:themeFillTint="33"/>
            <w:vAlign w:val="center"/>
          </w:tcPr>
          <w:p w14:paraId="54AF3A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156C040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تنظيف أجهزة الكشف باستخدام هواء مضغوط</w:t>
            </w:r>
          </w:p>
        </w:tc>
        <w:tc>
          <w:tcPr>
            <w:tcW w:w="508" w:type="dxa"/>
            <w:gridSpan w:val="2"/>
            <w:shd w:val="clear" w:color="auto" w:fill="C6D9F1" w:themeFill="text2" w:themeFillTint="33"/>
            <w:vAlign w:val="center"/>
          </w:tcPr>
          <w:p w14:paraId="6BE257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shd w:val="clear" w:color="auto" w:fill="auto"/>
            <w:vAlign w:val="center"/>
          </w:tcPr>
          <w:p w14:paraId="064AF1DB" w14:textId="3D4FD948"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الاستخدام الوظيفيّ لأجهزة الكشف باستخدام دخان الاختبار</w:t>
            </w:r>
          </w:p>
        </w:tc>
        <w:tc>
          <w:tcPr>
            <w:tcW w:w="508" w:type="dxa"/>
            <w:gridSpan w:val="2"/>
            <w:shd w:val="clear" w:color="auto" w:fill="C6D9F1" w:themeFill="text2" w:themeFillTint="33"/>
            <w:vAlign w:val="center"/>
          </w:tcPr>
          <w:p w14:paraId="042D14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shd w:val="clear" w:color="auto" w:fill="auto"/>
            <w:vAlign w:val="center"/>
          </w:tcPr>
          <w:p w14:paraId="4AA194B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إمكانية الوصول ليد السحب</w:t>
            </w:r>
          </w:p>
        </w:tc>
        <w:tc>
          <w:tcPr>
            <w:tcW w:w="508" w:type="dxa"/>
            <w:gridSpan w:val="2"/>
            <w:shd w:val="clear" w:color="auto" w:fill="C6D9F1" w:themeFill="text2" w:themeFillTint="33"/>
            <w:vAlign w:val="center"/>
          </w:tcPr>
          <w:p w14:paraId="33D31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shd w:val="clear" w:color="auto" w:fill="auto"/>
            <w:vAlign w:val="center"/>
          </w:tcPr>
          <w:p w14:paraId="5C94B4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النقاط التي تتم مراقبتها صحيحة في وقت المعاينة (إذا كان لدى المرفق جهاز إنذار وإعلان عن بُعد)</w:t>
            </w:r>
          </w:p>
        </w:tc>
        <w:tc>
          <w:tcPr>
            <w:tcW w:w="508" w:type="dxa"/>
            <w:gridSpan w:val="2"/>
            <w:shd w:val="clear" w:color="auto" w:fill="C6D9F1" w:themeFill="text2" w:themeFillTint="33"/>
            <w:vAlign w:val="center"/>
          </w:tcPr>
          <w:p w14:paraId="4FE99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1DC6F781"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وصول الإشارة إلى مكتب شركة المراقبة (إذا كان النظام مُراقَبًا)</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5F793CC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الماء - التحقق من أن أجهزة إنذار انخفاض درجات الحرارة غير متصلة بالموقع الذي يتم الحضور إليه باستمرار</w:t>
            </w:r>
          </w:p>
        </w:tc>
        <w:tc>
          <w:tcPr>
            <w:tcW w:w="508" w:type="dxa"/>
            <w:gridSpan w:val="2"/>
            <w:shd w:val="clear" w:color="auto" w:fill="C6D9F1" w:themeFill="text2" w:themeFillTint="33"/>
            <w:vAlign w:val="center"/>
          </w:tcPr>
          <w:p w14:paraId="491E201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0A8F18B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مستوى المياه — التحقق من أن الخزانات غير المزودة بأجهزة الإنذار التي تُشرف على مستوى المياه متصلة بالموقع الذي يتم الحضور إليه باستمرار</w:t>
            </w:r>
          </w:p>
        </w:tc>
        <w:tc>
          <w:tcPr>
            <w:tcW w:w="508" w:type="dxa"/>
            <w:gridSpan w:val="2"/>
            <w:shd w:val="clear" w:color="auto" w:fill="C6D9F1" w:themeFill="text2" w:themeFillTint="33"/>
            <w:vAlign w:val="center"/>
          </w:tcPr>
          <w:p w14:paraId="2EB43D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93C3F9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نظام التدفئة — التحقق من أن الخزانات غير المزودة بأجهزة الإنذار التي تُشرِف على درجة الحرارة المنخفضة متصلة بالموقع الذي يتم الحضور إليه باستمرار</w:t>
            </w:r>
          </w:p>
        </w:tc>
        <w:tc>
          <w:tcPr>
            <w:tcW w:w="508" w:type="dxa"/>
            <w:gridSpan w:val="2"/>
            <w:shd w:val="clear" w:color="auto" w:fill="C6D9F1" w:themeFill="text2" w:themeFillTint="33"/>
            <w:vAlign w:val="center"/>
          </w:tcPr>
          <w:p w14:paraId="27600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7A6EE83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ضغط الهواء — التحقق من أن خزانات بدون مصدر ضغط الهواء مُرَاقبة</w:t>
            </w:r>
          </w:p>
        </w:tc>
        <w:tc>
          <w:tcPr>
            <w:tcW w:w="508" w:type="dxa"/>
            <w:gridSpan w:val="2"/>
            <w:shd w:val="clear" w:color="auto" w:fill="C6D9F1" w:themeFill="text2" w:themeFillTint="33"/>
            <w:vAlign w:val="center"/>
          </w:tcPr>
          <w:p w14:paraId="0BD090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45DFD1F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صمامات التحكم - </w:t>
            </w:r>
          </w:p>
          <w:p w14:paraId="3685B9C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(1) التحقق في الوضع العادي المفتوح أو المغلق</w:t>
            </w:r>
          </w:p>
          <w:p w14:paraId="43340B96" w14:textId="77777777" w:rsidR="00420E1D" w:rsidRPr="00420E1D" w:rsidRDefault="00420E1D" w:rsidP="00420E1D">
            <w:pPr>
              <w:bidi/>
              <w:spacing w:before="40" w:after="40"/>
              <w:rPr>
                <w:rFonts w:cs="Arial"/>
                <w:sz w:val="18"/>
                <w:szCs w:val="18"/>
              </w:rPr>
            </w:pPr>
            <w:r w:rsidRPr="00420E1D">
              <w:rPr>
                <w:rFonts w:cs="Arial"/>
                <w:sz w:val="18"/>
                <w:szCs w:val="18"/>
                <w:rtl/>
                <w:lang w:eastAsia="ar"/>
              </w:rPr>
              <w:t>(2) التحقق من مانع التسرب، أو التأمين أو الخضوع للإشراف</w:t>
            </w:r>
          </w:p>
          <w:p w14:paraId="3EAD579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(3) التحقق من إمكانية الوصول</w:t>
            </w:r>
          </w:p>
          <w:p w14:paraId="1B068E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(4) التحقق من أن الصمامات القائمة ذات المؤشر مزوّدة بمفاتيح الربط الصحيحة</w:t>
            </w:r>
          </w:p>
          <w:p w14:paraId="65894F6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(5) التحقق من عدم وجود تسريبات خارجية</w:t>
            </w:r>
          </w:p>
          <w:p w14:paraId="5FB71F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(6) التحقق من توفّر رمز التعريف المطبّق</w:t>
            </w:r>
          </w:p>
        </w:tc>
        <w:tc>
          <w:tcPr>
            <w:tcW w:w="508" w:type="dxa"/>
            <w:gridSpan w:val="2"/>
            <w:shd w:val="clear" w:color="auto" w:fill="C6D9F1" w:themeFill="text2" w:themeFillTint="33"/>
            <w:vAlign w:val="center"/>
          </w:tcPr>
          <w:p w14:paraId="0F4C7E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2F92044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لوحات التحكم</w:t>
            </w:r>
          </w:p>
        </w:tc>
        <w:tc>
          <w:tcPr>
            <w:tcW w:w="508" w:type="dxa"/>
            <w:gridSpan w:val="2"/>
            <w:shd w:val="clear" w:color="auto" w:fill="C6D9F1" w:themeFill="text2" w:themeFillTint="33"/>
            <w:vAlign w:val="center"/>
          </w:tcPr>
          <w:p w14:paraId="0FBAF9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14887FB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مستويات خزّانات المياه </w:t>
            </w:r>
          </w:p>
        </w:tc>
        <w:tc>
          <w:tcPr>
            <w:tcW w:w="508" w:type="dxa"/>
            <w:gridSpan w:val="2"/>
            <w:shd w:val="clear" w:color="auto" w:fill="C6D9F1" w:themeFill="text2" w:themeFillTint="33"/>
            <w:vAlign w:val="center"/>
          </w:tcPr>
          <w:p w14:paraId="539890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70E1B1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اتصالات نظام إدارة المباني وإنذار الأعطال </w:t>
            </w:r>
          </w:p>
        </w:tc>
        <w:tc>
          <w:tcPr>
            <w:tcW w:w="508" w:type="dxa"/>
            <w:gridSpan w:val="2"/>
            <w:shd w:val="clear" w:color="auto" w:fill="C6D9F1" w:themeFill="text2" w:themeFillTint="33"/>
            <w:vAlign w:val="center"/>
          </w:tcPr>
          <w:p w14:paraId="3331C1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208C51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الخزانات بالعين المجردة بحثًا عن مشاكل التآكل أو التسرب</w:t>
            </w:r>
          </w:p>
        </w:tc>
        <w:tc>
          <w:tcPr>
            <w:tcW w:w="508" w:type="dxa"/>
            <w:gridSpan w:val="2"/>
            <w:shd w:val="clear" w:color="auto" w:fill="C6D9F1" w:themeFill="text2" w:themeFillTint="33"/>
            <w:vAlign w:val="center"/>
          </w:tcPr>
          <w:p w14:paraId="422B98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6927752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تتحقق أنظمة الإطفاء بغاز ثاني أكسيد الكربون من أن مقياس مستوى السائل لأنظمة الضغط المنخفض يُبيّن أن الكمية الأدنى من العامل متوفرة في الخزان</w:t>
            </w:r>
          </w:p>
        </w:tc>
        <w:tc>
          <w:tcPr>
            <w:tcW w:w="508" w:type="dxa"/>
            <w:gridSpan w:val="2"/>
            <w:shd w:val="clear" w:color="auto" w:fill="C6D9F1" w:themeFill="text2" w:themeFillTint="33"/>
            <w:vAlign w:val="center"/>
          </w:tcPr>
          <w:p w14:paraId="29C585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shd w:val="clear" w:color="auto" w:fill="auto"/>
            <w:vAlign w:val="center"/>
          </w:tcPr>
          <w:p w14:paraId="5851E05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إجراء فحص فعّلي للعدسة لأنظمة اكتشاف/قمع الشرارة وأن تكون خالية من العوائق. التحقق من معاينة الحساس للتأكد من عدم وجود ضرر به</w:t>
            </w:r>
          </w:p>
        </w:tc>
        <w:tc>
          <w:tcPr>
            <w:tcW w:w="508" w:type="dxa"/>
            <w:gridSpan w:val="2"/>
            <w:shd w:val="clear" w:color="auto" w:fill="C6D9F1" w:themeFill="text2" w:themeFillTint="33"/>
            <w:vAlign w:val="center"/>
          </w:tcPr>
          <w:p w14:paraId="5818BE0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shd w:val="clear" w:color="auto" w:fill="auto"/>
            <w:vAlign w:val="center"/>
          </w:tcPr>
          <w:p w14:paraId="3459B07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البصرية لجميع الأبواب والمصاريع المضادة للحرائق للتحقق من أنها في حالة تشغيل جيدة ولا يوجد عائق (أي تخزين مؤقت داخل المدخل) يمكن أن يعيق الإغلاق السليم للباب في حالة الطوارئ عند نشوب حريق</w:t>
            </w:r>
          </w:p>
        </w:tc>
        <w:tc>
          <w:tcPr>
            <w:tcW w:w="508" w:type="dxa"/>
            <w:gridSpan w:val="2"/>
            <w:shd w:val="clear" w:color="auto" w:fill="C6D9F1" w:themeFill="text2" w:themeFillTint="33"/>
            <w:vAlign w:val="center"/>
          </w:tcPr>
          <w:p w14:paraId="6FD43B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shd w:val="clear" w:color="auto" w:fill="auto"/>
            <w:vAlign w:val="center"/>
          </w:tcPr>
          <w:p w14:paraId="432E2A5D"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معاينة الكسوة المعدنية للأبواب المضادة للحرائق وجميع الأجهزة اللازمة بما في ذلك المزالج والموجهات. التحقق من الروابط القابلة للانصهار للتأكد من خلوها من الطلاء أو المواد الغريبة الأخرى، ممّا قد يؤدي إلى تأخير التشغيل</w:t>
            </w:r>
          </w:p>
        </w:tc>
        <w:tc>
          <w:tcPr>
            <w:tcW w:w="508" w:type="dxa"/>
            <w:gridSpan w:val="2"/>
            <w:shd w:val="clear" w:color="auto" w:fill="C6D9F1" w:themeFill="text2" w:themeFillTint="33"/>
            <w:vAlign w:val="center"/>
          </w:tcPr>
          <w:p w14:paraId="5D1C06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shd w:val="clear" w:color="auto" w:fill="auto"/>
            <w:vAlign w:val="center"/>
          </w:tcPr>
          <w:p w14:paraId="52D966D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أجهزة قياس الأنبوب الجاف، والإجراءات المسبقة وأنظمة الإطفاء لضمان توفّر ضغط الهواء والماء الملائم. التحقق من معاينة إنذار مراقبة انخفاض ضغط الهواء لجهاز قياس متوفر في الموقع باستمرار</w:t>
            </w:r>
          </w:p>
        </w:tc>
        <w:tc>
          <w:tcPr>
            <w:tcW w:w="508" w:type="dxa"/>
            <w:gridSpan w:val="2"/>
            <w:shd w:val="clear" w:color="auto" w:fill="C6D9F1" w:themeFill="text2" w:themeFillTint="33"/>
            <w:vAlign w:val="center"/>
          </w:tcPr>
          <w:p w14:paraId="794C1F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02" w:type="dxa"/>
            <w:gridSpan w:val="3"/>
            <w:shd w:val="clear" w:color="auto" w:fill="auto"/>
            <w:vAlign w:val="center"/>
          </w:tcPr>
          <w:p w14:paraId="6DE0EC8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تحقق من أن الإمداد بالمياه العامة قيد الصيانة الكاملة. يكون محور الاهتمام الأول هو التأكد من أنّ جميع صمامات التحكم في حفر البلدية مفتوحة ومقفلة.</w:t>
            </w:r>
          </w:p>
        </w:tc>
        <w:tc>
          <w:tcPr>
            <w:tcW w:w="508" w:type="dxa"/>
            <w:gridSpan w:val="2"/>
            <w:shd w:val="clear" w:color="auto" w:fill="C6D9F1" w:themeFill="text2" w:themeFillTint="33"/>
            <w:vAlign w:val="center"/>
          </w:tcPr>
          <w:p w14:paraId="68DEA6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02" w:type="dxa"/>
            <w:gridSpan w:val="3"/>
            <w:shd w:val="clear" w:color="auto" w:fill="auto"/>
            <w:vAlign w:val="center"/>
          </w:tcPr>
          <w:p w14:paraId="652E388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الأنابيب الرئيسية للحماية من الحرائق المعرضة لدرجات حرارة التجمد</w:t>
            </w:r>
          </w:p>
        </w:tc>
        <w:tc>
          <w:tcPr>
            <w:tcW w:w="508" w:type="dxa"/>
            <w:gridSpan w:val="2"/>
            <w:shd w:val="clear" w:color="auto" w:fill="C6D9F1" w:themeFill="text2" w:themeFillTint="33"/>
            <w:vAlign w:val="center"/>
          </w:tcPr>
          <w:p w14:paraId="393C79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02" w:type="dxa"/>
            <w:gridSpan w:val="3"/>
            <w:shd w:val="clear" w:color="auto" w:fill="auto"/>
            <w:vAlign w:val="center"/>
          </w:tcPr>
          <w:p w14:paraId="2AFFFC6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كل صمام للتحقق من تأمينه في وضع الفتح ووضع علامة على نموذج المعاينة وفقًا لذلك</w:t>
            </w:r>
          </w:p>
        </w:tc>
        <w:tc>
          <w:tcPr>
            <w:tcW w:w="508" w:type="dxa"/>
            <w:gridSpan w:val="2"/>
            <w:shd w:val="clear" w:color="auto" w:fill="C6D9F1" w:themeFill="text2" w:themeFillTint="33"/>
            <w:vAlign w:val="center"/>
          </w:tcPr>
          <w:p w14:paraId="3983D4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28</w:t>
            </w:r>
          </w:p>
        </w:tc>
        <w:tc>
          <w:tcPr>
            <w:tcW w:w="8002" w:type="dxa"/>
            <w:gridSpan w:val="3"/>
            <w:shd w:val="clear" w:color="auto" w:fill="auto"/>
            <w:vAlign w:val="center"/>
          </w:tcPr>
          <w:p w14:paraId="471B122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الكشف التلقائي وأنظمة إنذار الحريق اليدوية ومعاينة أنظمة الكشف عن الغاز واختبارها وفقًا لمتطلبات الجمعية الوطنية لمكافحة الحرائق (</w:t>
            </w:r>
            <w:r w:rsidRPr="00420E1D">
              <w:rPr>
                <w:rFonts w:cs="Arial"/>
                <w:sz w:val="18"/>
                <w:szCs w:val="18"/>
                <w:lang w:eastAsia="ar" w:bidi="en-US"/>
              </w:rPr>
              <w:t>NFPA</w:t>
            </w:r>
            <w:r w:rsidRPr="00420E1D">
              <w:rPr>
                <w:rFonts w:cs="Arial"/>
                <w:sz w:val="18"/>
                <w:szCs w:val="18"/>
                <w:rtl/>
                <w:lang w:eastAsia="ar"/>
              </w:rPr>
              <w:t xml:space="preserve"> 72) على يد موظفين مؤهلين</w:t>
            </w:r>
          </w:p>
        </w:tc>
        <w:tc>
          <w:tcPr>
            <w:tcW w:w="508" w:type="dxa"/>
            <w:gridSpan w:val="2"/>
            <w:shd w:val="clear" w:color="auto" w:fill="C6D9F1" w:themeFill="text2" w:themeFillTint="33"/>
            <w:vAlign w:val="center"/>
          </w:tcPr>
          <w:p w14:paraId="7493EA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29</w:t>
            </w:r>
          </w:p>
        </w:tc>
        <w:tc>
          <w:tcPr>
            <w:tcW w:w="8002" w:type="dxa"/>
            <w:gridSpan w:val="3"/>
            <w:shd w:val="clear" w:color="auto" w:fill="auto"/>
            <w:vAlign w:val="center"/>
          </w:tcPr>
          <w:p w14:paraId="2E9C1A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في المحطة عندما لا يخضع الضغط للإشراف إلكترونيًا، وبدء تشغيل الضاغط</w:t>
            </w:r>
          </w:p>
        </w:tc>
        <w:tc>
          <w:tcPr>
            <w:tcW w:w="508" w:type="dxa"/>
            <w:gridSpan w:val="2"/>
            <w:shd w:val="clear" w:color="auto" w:fill="C6D9F1" w:themeFill="text2" w:themeFillTint="33"/>
            <w:vAlign w:val="center"/>
          </w:tcPr>
          <w:p w14:paraId="35C13B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30</w:t>
            </w:r>
          </w:p>
        </w:tc>
        <w:tc>
          <w:tcPr>
            <w:tcW w:w="8002" w:type="dxa"/>
            <w:gridSpan w:val="3"/>
            <w:shd w:val="clear" w:color="auto" w:fill="auto"/>
            <w:vAlign w:val="center"/>
          </w:tcPr>
          <w:p w14:paraId="2EAF89F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بدء كل مضخة تلقائيًا بهبوط في الضغط</w:t>
            </w:r>
          </w:p>
        </w:tc>
        <w:tc>
          <w:tcPr>
            <w:tcW w:w="508" w:type="dxa"/>
            <w:gridSpan w:val="2"/>
            <w:shd w:val="clear" w:color="auto" w:fill="C6D9F1" w:themeFill="text2" w:themeFillTint="33"/>
            <w:vAlign w:val="center"/>
          </w:tcPr>
          <w:p w14:paraId="1F4CE5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lastRenderedPageBreak/>
              <w:t>31</w:t>
            </w:r>
          </w:p>
        </w:tc>
        <w:tc>
          <w:tcPr>
            <w:tcW w:w="8002" w:type="dxa"/>
            <w:gridSpan w:val="3"/>
            <w:shd w:val="clear" w:color="auto" w:fill="auto"/>
            <w:vAlign w:val="center"/>
          </w:tcPr>
          <w:p w14:paraId="4D71976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الشهرية لأجهزة كشف أنظمة رش الماء فائقة السرعة للكشف عن الأضرار الموجودة بها والتراكمات على عدسات أجهزة الكشف</w:t>
            </w:r>
          </w:p>
        </w:tc>
        <w:tc>
          <w:tcPr>
            <w:tcW w:w="508" w:type="dxa"/>
            <w:gridSpan w:val="2"/>
            <w:shd w:val="clear" w:color="auto" w:fill="C6D9F1" w:themeFill="text2" w:themeFillTint="33"/>
            <w:vAlign w:val="center"/>
          </w:tcPr>
          <w:p w14:paraId="19CB52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32</w:t>
            </w:r>
          </w:p>
        </w:tc>
        <w:tc>
          <w:tcPr>
            <w:tcW w:w="8002" w:type="dxa"/>
            <w:gridSpan w:val="3"/>
            <w:shd w:val="clear" w:color="auto" w:fill="auto"/>
            <w:vAlign w:val="center"/>
          </w:tcPr>
          <w:p w14:paraId="13FF565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المياه للخزانات المزودة بأجهزة إنذار انخفاض درجة الحرارة والمتصلة بالموقع الذي يتم شغله باستمرار، يجب معاينة درجة حرارة مياه الخزان وتسجيلها.</w:t>
            </w:r>
          </w:p>
        </w:tc>
        <w:tc>
          <w:tcPr>
            <w:tcW w:w="508" w:type="dxa"/>
            <w:gridSpan w:val="2"/>
            <w:shd w:val="clear" w:color="auto" w:fill="C6D9F1" w:themeFill="text2" w:themeFillTint="33"/>
            <w:vAlign w:val="center"/>
          </w:tcPr>
          <w:p w14:paraId="459F226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33</w:t>
            </w:r>
          </w:p>
        </w:tc>
        <w:tc>
          <w:tcPr>
            <w:tcW w:w="8002" w:type="dxa"/>
            <w:gridSpan w:val="3"/>
            <w:shd w:val="clear" w:color="auto" w:fill="auto"/>
            <w:vAlign w:val="center"/>
          </w:tcPr>
          <w:p w14:paraId="68E4FE04" w14:textId="50FAB71E" w:rsidR="00420E1D" w:rsidRPr="00420E1D" w:rsidRDefault="00420E1D" w:rsidP="00420E1D">
            <w:pPr>
              <w:bidi/>
              <w:spacing w:before="40" w:after="40"/>
              <w:rPr>
                <w:rFonts w:cs="Arial"/>
                <w:sz w:val="18"/>
                <w:szCs w:val="18"/>
              </w:rPr>
            </w:pPr>
            <w:r w:rsidRPr="00420E1D">
              <w:rPr>
                <w:rFonts w:cs="Arial"/>
                <w:sz w:val="18"/>
                <w:szCs w:val="18"/>
                <w:rtl/>
                <w:lang w:eastAsia="ar"/>
              </w:rPr>
              <w:t>فحص معاينة أنظمة إطفاء الحريق المتصلة بأنابيب مجهزة دائمًا بالمياه للتأكد من الحفاظ على ضغط مياه مناسب في النظام</w:t>
            </w:r>
          </w:p>
        </w:tc>
        <w:tc>
          <w:tcPr>
            <w:tcW w:w="508" w:type="dxa"/>
            <w:gridSpan w:val="2"/>
            <w:shd w:val="clear" w:color="auto" w:fill="C6D9F1" w:themeFill="text2" w:themeFillTint="33"/>
            <w:vAlign w:val="center"/>
          </w:tcPr>
          <w:p w14:paraId="33F1DE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34</w:t>
            </w:r>
          </w:p>
        </w:tc>
        <w:tc>
          <w:tcPr>
            <w:tcW w:w="8002" w:type="dxa"/>
            <w:gridSpan w:val="3"/>
            <w:shd w:val="clear" w:color="auto" w:fill="auto"/>
            <w:vAlign w:val="center"/>
          </w:tcPr>
          <w:p w14:paraId="4B1FBAD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لضاغط هواء المحطة عند توفير إشراف إلكتروني لضغط هواء المحطة</w:t>
            </w:r>
          </w:p>
        </w:tc>
        <w:tc>
          <w:tcPr>
            <w:tcW w:w="508" w:type="dxa"/>
            <w:gridSpan w:val="2"/>
            <w:shd w:val="clear" w:color="auto" w:fill="C6D9F1" w:themeFill="text2" w:themeFillTint="33"/>
            <w:vAlign w:val="center"/>
          </w:tcPr>
          <w:p w14:paraId="1B4FDD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35</w:t>
            </w:r>
          </w:p>
        </w:tc>
        <w:tc>
          <w:tcPr>
            <w:tcW w:w="8002" w:type="dxa"/>
            <w:gridSpan w:val="3"/>
            <w:shd w:val="clear" w:color="auto" w:fill="auto"/>
            <w:vAlign w:val="center"/>
          </w:tcPr>
          <w:p w14:paraId="35C12C44" w14:textId="77777777" w:rsidR="00420E1D" w:rsidRPr="00420E1D" w:rsidRDefault="00420E1D" w:rsidP="00420E1D">
            <w:pPr>
              <w:bidi/>
              <w:spacing w:before="40" w:after="40"/>
              <w:rPr>
                <w:rFonts w:asciiTheme="minorBidi" w:hAnsiTheme="minorBidi" w:cstheme="minorBidi"/>
                <w:sz w:val="18"/>
                <w:szCs w:val="18"/>
              </w:rPr>
            </w:pPr>
            <w:r w:rsidRPr="00420E1D">
              <w:rPr>
                <w:rFonts w:asciiTheme="minorBidi" w:hAnsiTheme="minorBidi" w:cstheme="minorBidi"/>
                <w:sz w:val="18"/>
                <w:szCs w:val="18"/>
                <w:rtl/>
                <w:lang w:eastAsia="ar"/>
              </w:rPr>
              <w:t>فحص صمامات التحكم في حالة تأمينها في الوضع المفتوح أو الإشراف عليها إلكترونيًا في نظام إدارة المباني أو المعاينة البصرية</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36</w:t>
            </w:r>
          </w:p>
        </w:tc>
        <w:tc>
          <w:tcPr>
            <w:tcW w:w="8002" w:type="dxa"/>
            <w:gridSpan w:val="3"/>
            <w:shd w:val="clear" w:color="auto" w:fill="auto"/>
            <w:vAlign w:val="center"/>
          </w:tcPr>
          <w:p w14:paraId="5516C69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مستوى خزان تخزين المياه في حالة عدم تزويده بإشراف إلكتروني على مستوى الخزان</w:t>
            </w:r>
          </w:p>
        </w:tc>
        <w:tc>
          <w:tcPr>
            <w:tcW w:w="508" w:type="dxa"/>
            <w:gridSpan w:val="2"/>
            <w:shd w:val="clear" w:color="auto" w:fill="C6D9F1" w:themeFill="text2" w:themeFillTint="33"/>
            <w:vAlign w:val="center"/>
          </w:tcPr>
          <w:p w14:paraId="65CDCD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37</w:t>
            </w:r>
          </w:p>
        </w:tc>
        <w:tc>
          <w:tcPr>
            <w:tcW w:w="8002" w:type="dxa"/>
            <w:gridSpan w:val="3"/>
            <w:shd w:val="clear" w:color="auto" w:fill="auto"/>
            <w:vAlign w:val="center"/>
          </w:tcPr>
          <w:p w14:paraId="1BA96D7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مستويات خزان إعادة تدوير المياه في حالة عدم تزويده بالإشراف الإلكتروني على مستوى خزان إعادة التدوير</w:t>
            </w:r>
          </w:p>
        </w:tc>
        <w:tc>
          <w:tcPr>
            <w:tcW w:w="508" w:type="dxa"/>
            <w:gridSpan w:val="2"/>
            <w:shd w:val="clear" w:color="auto" w:fill="C6D9F1" w:themeFill="text2" w:themeFillTint="33"/>
            <w:vAlign w:val="center"/>
          </w:tcPr>
          <w:p w14:paraId="4DDA32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38</w:t>
            </w:r>
          </w:p>
        </w:tc>
        <w:tc>
          <w:tcPr>
            <w:tcW w:w="8002" w:type="dxa"/>
            <w:gridSpan w:val="3"/>
            <w:shd w:val="clear" w:color="auto" w:fill="auto"/>
            <w:vAlign w:val="center"/>
          </w:tcPr>
          <w:p w14:paraId="0E955D6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أسطوانات الغاز المضغوط في المقياس، في حالة عدم تزويده بالمراقبة الإلكترونية لضغط الأسطوانات.</w:t>
            </w:r>
          </w:p>
        </w:tc>
        <w:tc>
          <w:tcPr>
            <w:tcW w:w="508" w:type="dxa"/>
            <w:gridSpan w:val="2"/>
            <w:shd w:val="clear" w:color="auto" w:fill="C6D9F1" w:themeFill="text2" w:themeFillTint="33"/>
            <w:vAlign w:val="center"/>
          </w:tcPr>
          <w:p w14:paraId="132C948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39</w:t>
            </w:r>
          </w:p>
        </w:tc>
        <w:tc>
          <w:tcPr>
            <w:tcW w:w="8002" w:type="dxa"/>
            <w:gridSpan w:val="3"/>
            <w:shd w:val="clear" w:color="auto" w:fill="auto"/>
            <w:vAlign w:val="center"/>
          </w:tcPr>
          <w:p w14:paraId="540FC7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أنابيب تصريف العامل للتأكد من أنها مؤمّنة بشكل صحيح وغير مفصولة</w:t>
            </w:r>
          </w:p>
        </w:tc>
        <w:tc>
          <w:tcPr>
            <w:tcW w:w="508" w:type="dxa"/>
            <w:gridSpan w:val="2"/>
            <w:shd w:val="clear" w:color="auto" w:fill="C6D9F1" w:themeFill="text2" w:themeFillTint="33"/>
            <w:vAlign w:val="center"/>
          </w:tcPr>
          <w:p w14:paraId="7C58C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027234E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7264B24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bidi/>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bidi/>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bidi/>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bidi/>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42228AC3"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bidi/>
              <w:spacing w:before="40" w:after="40"/>
              <w:jc w:val="left"/>
              <w:rPr>
                <w:rFonts w:cs="Arial"/>
              </w:rPr>
            </w:pPr>
          </w:p>
        </w:tc>
      </w:tr>
    </w:tbl>
    <w:p w14:paraId="3AC84F03" w14:textId="77777777" w:rsidR="00420E1D" w:rsidRPr="00420E1D" w:rsidRDefault="00420E1D" w:rsidP="00420E1D">
      <w:pPr>
        <w:bidi/>
      </w:pPr>
    </w:p>
    <w:p w14:paraId="6095F9C6" w14:textId="630F8FFE" w:rsidR="00420E1D" w:rsidRPr="00420E1D" w:rsidRDefault="00420E1D" w:rsidP="00394053">
      <w:pPr>
        <w:bidi/>
        <w:rPr>
          <w:b/>
          <w:bCs/>
        </w:rPr>
      </w:pPr>
      <w:r w:rsidRPr="00420E1D">
        <w:rPr>
          <w:b/>
          <w:bCs/>
          <w:color w:val="215868" w:themeColor="accent5" w:themeShade="80"/>
          <w:rtl/>
          <w:lang w:eastAsia="ar"/>
        </w:rPr>
        <w:br w:type="page"/>
      </w:r>
      <w:r w:rsidRPr="00420E1D">
        <w:rPr>
          <w:b/>
          <w:bCs/>
          <w:rtl/>
          <w:lang w:eastAsia="ar"/>
        </w:rPr>
        <w:lastRenderedPageBreak/>
        <w:t>أنظمة التبريد</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5DEB8888" w:rsidR="00420E1D" w:rsidRPr="00420E1D" w:rsidRDefault="00A91C64" w:rsidP="00420E1D">
            <w:pPr>
              <w:bidi/>
              <w:ind w:left="-104" w:right="-105"/>
              <w:jc w:val="center"/>
              <w:rPr>
                <w:rFonts w:cs="Arial"/>
                <w:b/>
                <w:bCs/>
                <w:sz w:val="16"/>
                <w:szCs w:val="16"/>
              </w:rPr>
            </w:pPr>
            <w:r>
              <w:rPr>
                <w:rFonts w:cs="Arial"/>
                <w:b/>
                <w:bCs/>
                <w:sz w:val="16"/>
                <w:szCs w:val="16"/>
                <w:rtl/>
                <w:lang w:eastAsia="ar"/>
              </w:rPr>
              <w:t>تم التحقق منها وثبت أنها تعمل بصورة مرضية</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bidi/>
              <w:jc w:val="left"/>
              <w:rPr>
                <w:b/>
                <w:bCs/>
              </w:rPr>
            </w:pPr>
            <w:r w:rsidRPr="00420E1D">
              <w:rPr>
                <w:b/>
                <w:bCs/>
                <w:rtl/>
                <w:lang w:eastAsia="ar"/>
              </w:rPr>
              <w:t xml:space="preserve">أنظمة التبريد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bidi/>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الحرارة وضغط الشفط والتفريغ لضاغط المبرّد</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ضاغط المبرّد، مستوى الزيت والضغط</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سائل مبخر المبرد أو درجة حرارة وضغط مدخل ومخرج الهواء</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حرارة مدخل ومخرج التبريد</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معاينة ظروف العزل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لوحات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مؤشرات التحكم (الضبط) للمبرّد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ظروف تشغيل المبرّد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 xml:space="preserve">التحقق من اتصالات نظام إدارة المباني للمبرّد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تسرب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مدخل ومخرج المياه للبحث عن التسربات</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مشغّلات التحكم في المنطقة، وتنظيفها وإجراء جميع التعديلات</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ملفات التبريد وتنظيف الأسطح. والتحقق من وجود تسربات، أو تآكل أو ثني الزعانف</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أيضًا التحقق من مخمدات الهواء العائد للتأكد من التشغيل السليم والمعايرة وفحوصات تشحيم المحامل</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مجفف الفلتر وأي فحوصات لاستبدال الفلاتر القديمة، أو المتسخة أو التالفة</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مُخمِّد هواء العادم للتشغيل السليم، وتشحيم المحامل ومعايرتها أو ضبطها للتشغيل الأمثل</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مناطق الضاغط المختلفة بما في ذلك شحن غاز التبريد، والاهتزاز، وسخان علبة المرافق، ومستويات الزيت وتغيراته، ودرجات حرارة التشغيل، وأي تسربات لسائل التبريد أو الزيت</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توفّر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عمل وحدة ضغط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إمدادات مياه التعويض المتاحة للأنظمة</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ملفات المكثف وتنظيفها، حيث إن نقل الحرارة له تأثير كبير على أنظمة التبريد ويظل أساسيًا لإنتاج عملية تبريد فعّالة. ويجب إجراء التحقق من ملفات المكثف خلال الصيانة الدورية للتأكد من عدم انسدادها وحرية مرور الهواء</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استكمال جميع عمليات الفحص البصري للتأكد من أن جميع المعدات قيد التشغيل وأن أنظمة السلامة في مكانها الصحيح</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bidi/>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bidi/>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bidi/>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bidi/>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bidi/>
              <w:spacing w:before="40" w:after="40"/>
              <w:jc w:val="left"/>
              <w:rPr>
                <w:rFonts w:cs="Arial"/>
              </w:rPr>
            </w:pPr>
          </w:p>
        </w:tc>
      </w:tr>
    </w:tbl>
    <w:p w14:paraId="0071B8C0" w14:textId="77777777" w:rsidR="00420E1D" w:rsidRPr="00420E1D" w:rsidRDefault="00420E1D" w:rsidP="00420E1D">
      <w:pPr>
        <w:bidi/>
        <w:rPr>
          <w:b/>
          <w:bCs/>
          <w:color w:val="215868" w:themeColor="accent5" w:themeShade="80"/>
        </w:rPr>
      </w:pPr>
    </w:p>
    <w:p w14:paraId="25C95666" w14:textId="77777777" w:rsidR="00420E1D" w:rsidRPr="00420E1D" w:rsidRDefault="00420E1D" w:rsidP="00420E1D">
      <w:pPr>
        <w:bidi/>
        <w:rPr>
          <w:b/>
          <w:bCs/>
          <w:color w:val="215868" w:themeColor="accent5" w:themeShade="80"/>
        </w:rPr>
      </w:pPr>
    </w:p>
    <w:p w14:paraId="380446D2" w14:textId="2A010FC7" w:rsidR="00420E1D" w:rsidRDefault="00420E1D" w:rsidP="00420E1D">
      <w:pPr>
        <w:bidi/>
        <w:rPr>
          <w:b/>
          <w:bCs/>
          <w:color w:val="215868" w:themeColor="accent5" w:themeShade="80"/>
          <w:rtl/>
        </w:rPr>
      </w:pPr>
    </w:p>
    <w:p w14:paraId="05C71326" w14:textId="323D3807" w:rsidR="00394053" w:rsidRDefault="00394053" w:rsidP="00394053">
      <w:pPr>
        <w:bidi/>
        <w:rPr>
          <w:b/>
          <w:bCs/>
          <w:color w:val="215868" w:themeColor="accent5" w:themeShade="80"/>
          <w:rtl/>
        </w:rPr>
      </w:pPr>
    </w:p>
    <w:p w14:paraId="719B2F2B" w14:textId="17B2060C" w:rsidR="00394053" w:rsidRDefault="00394053" w:rsidP="00394053">
      <w:pPr>
        <w:bidi/>
        <w:rPr>
          <w:b/>
          <w:bCs/>
          <w:color w:val="215868" w:themeColor="accent5" w:themeShade="80"/>
          <w:rtl/>
        </w:rPr>
      </w:pPr>
    </w:p>
    <w:p w14:paraId="239EB7BA" w14:textId="4FDB87CE" w:rsidR="00394053" w:rsidRDefault="00394053" w:rsidP="00394053">
      <w:pPr>
        <w:bidi/>
        <w:rPr>
          <w:b/>
          <w:bCs/>
          <w:color w:val="215868" w:themeColor="accent5" w:themeShade="80"/>
          <w:rtl/>
        </w:rPr>
      </w:pPr>
    </w:p>
    <w:p w14:paraId="33F5C207" w14:textId="4997C7BC" w:rsidR="00394053" w:rsidRDefault="00394053" w:rsidP="00394053">
      <w:pPr>
        <w:bidi/>
        <w:rPr>
          <w:b/>
          <w:bCs/>
          <w:color w:val="215868" w:themeColor="accent5" w:themeShade="80"/>
          <w:rtl/>
        </w:rPr>
      </w:pPr>
    </w:p>
    <w:p w14:paraId="5ED64DD6" w14:textId="77777777" w:rsidR="00394053" w:rsidRDefault="00394053" w:rsidP="00394053">
      <w:pPr>
        <w:bidi/>
        <w:rPr>
          <w:b/>
          <w:bCs/>
          <w:color w:val="215868" w:themeColor="accent5" w:themeShade="80"/>
        </w:rPr>
      </w:pPr>
    </w:p>
    <w:p w14:paraId="1191715C" w14:textId="77777777" w:rsidR="00565EA3" w:rsidRPr="00420E1D" w:rsidRDefault="00565EA3" w:rsidP="00420E1D">
      <w:pPr>
        <w:bidi/>
        <w:rPr>
          <w:b/>
          <w:bCs/>
          <w:color w:val="215868" w:themeColor="accent5" w:themeShade="80"/>
        </w:rPr>
      </w:pPr>
    </w:p>
    <w:p w14:paraId="171DBB5F" w14:textId="77777777" w:rsidR="00420E1D" w:rsidRPr="00420E1D" w:rsidRDefault="00420E1D" w:rsidP="00420E1D">
      <w:pPr>
        <w:bidi/>
      </w:pPr>
    </w:p>
    <w:p w14:paraId="162F0FCB" w14:textId="244BF6A0" w:rsidR="00420E1D" w:rsidRPr="00394053" w:rsidRDefault="00420E1D" w:rsidP="00394053">
      <w:pPr>
        <w:bidi/>
        <w:rPr>
          <w:b/>
          <w:bCs/>
        </w:rPr>
      </w:pPr>
      <w:r w:rsidRPr="00420E1D">
        <w:rPr>
          <w:b/>
          <w:bCs/>
          <w:rtl/>
          <w:lang w:eastAsia="ar"/>
        </w:rPr>
        <w:t>أنظمة الغاز الطبي</w:t>
      </w:r>
    </w:p>
    <w:tbl>
      <w:tblPr>
        <w:bidiVisual/>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shd w:val="clear" w:color="auto" w:fill="auto"/>
            <w:vAlign w:val="center"/>
          </w:tcPr>
          <w:p w14:paraId="3DFFDC9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shd w:val="clear" w:color="auto" w:fill="auto"/>
            <w:vAlign w:val="center"/>
          </w:tcPr>
          <w:p w14:paraId="1BBF0B51"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bidi/>
              <w:jc w:val="center"/>
              <w:rPr>
                <w:b/>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23B011B4" w14:textId="02372BE9" w:rsidR="00420E1D" w:rsidRPr="00420E1D" w:rsidRDefault="00A91C64"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bidi/>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shd w:val="clear" w:color="auto" w:fill="C6D9F1" w:themeFill="text2" w:themeFillTint="33"/>
            <w:vAlign w:val="center"/>
          </w:tcPr>
          <w:p w14:paraId="1587FA1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C913A5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bidi/>
              <w:jc w:val="left"/>
              <w:rPr>
                <w:b/>
                <w:bCs/>
              </w:rPr>
            </w:pPr>
            <w:r w:rsidRPr="00420E1D">
              <w:rPr>
                <w:b/>
                <w:bCs/>
                <w:rtl/>
                <w:lang w:eastAsia="ar"/>
              </w:rPr>
              <w:t xml:space="preserve">أنظمة الغاز الطبي </w:t>
            </w:r>
          </w:p>
        </w:tc>
        <w:tc>
          <w:tcPr>
            <w:tcW w:w="508" w:type="dxa"/>
            <w:shd w:val="clear" w:color="auto" w:fill="C6D9F1" w:themeFill="text2" w:themeFillTint="33"/>
            <w:vAlign w:val="center"/>
          </w:tcPr>
          <w:p w14:paraId="1066BA68" w14:textId="77777777" w:rsidR="00420E1D" w:rsidRPr="00420E1D" w:rsidRDefault="00420E1D" w:rsidP="00420E1D">
            <w:pPr>
              <w:bidi/>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bidi/>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bidi/>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w:t>
            </w:r>
          </w:p>
        </w:tc>
        <w:tc>
          <w:tcPr>
            <w:tcW w:w="8002" w:type="dxa"/>
            <w:gridSpan w:val="3"/>
            <w:shd w:val="clear" w:color="auto" w:fill="auto"/>
            <w:vAlign w:val="center"/>
          </w:tcPr>
          <w:p w14:paraId="0112D1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لوحات التحكم للضاغط والمجفف لضمان عدم وجود حالات إنذار</w:t>
            </w:r>
          </w:p>
        </w:tc>
        <w:tc>
          <w:tcPr>
            <w:tcW w:w="508" w:type="dxa"/>
            <w:shd w:val="clear" w:color="auto" w:fill="C6D9F1" w:themeFill="text2" w:themeFillTint="33"/>
            <w:vAlign w:val="center"/>
          </w:tcPr>
          <w:p w14:paraId="49F6D7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w:t>
            </w:r>
          </w:p>
        </w:tc>
        <w:tc>
          <w:tcPr>
            <w:tcW w:w="8002" w:type="dxa"/>
            <w:gridSpan w:val="3"/>
            <w:shd w:val="clear" w:color="auto" w:fill="auto"/>
            <w:vAlign w:val="center"/>
          </w:tcPr>
          <w:p w14:paraId="7665B7E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الساعات المسجلة لكل مضخة</w:t>
            </w:r>
          </w:p>
        </w:tc>
        <w:tc>
          <w:tcPr>
            <w:tcW w:w="508" w:type="dxa"/>
            <w:shd w:val="clear" w:color="auto" w:fill="C6D9F1" w:themeFill="text2" w:themeFillTint="33"/>
            <w:vAlign w:val="center"/>
          </w:tcPr>
          <w:p w14:paraId="374C99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w:t>
            </w:r>
          </w:p>
        </w:tc>
        <w:tc>
          <w:tcPr>
            <w:tcW w:w="8002" w:type="dxa"/>
            <w:gridSpan w:val="3"/>
            <w:shd w:val="clear" w:color="auto" w:fill="auto"/>
            <w:vAlign w:val="center"/>
          </w:tcPr>
          <w:p w14:paraId="3E3484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الضاغطين للتأكد من الأمن وبحثًا عن أي علامة مرئية على تسرب الزيت</w:t>
            </w:r>
          </w:p>
        </w:tc>
        <w:tc>
          <w:tcPr>
            <w:tcW w:w="508" w:type="dxa"/>
            <w:shd w:val="clear" w:color="auto" w:fill="C6D9F1" w:themeFill="text2" w:themeFillTint="33"/>
            <w:vAlign w:val="center"/>
          </w:tcPr>
          <w:p w14:paraId="7FDDB4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4</w:t>
            </w:r>
          </w:p>
        </w:tc>
        <w:tc>
          <w:tcPr>
            <w:tcW w:w="8002" w:type="dxa"/>
            <w:gridSpan w:val="3"/>
            <w:shd w:val="clear" w:color="auto" w:fill="auto"/>
            <w:vAlign w:val="center"/>
          </w:tcPr>
          <w:p w14:paraId="3F22C824" w14:textId="07492A6D"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تغيير مفتاح محدد مهمة المجفف والضاغط والتأكد من التشغيل الصحيح من خلال المراقبة أثناء تشغيل الضاغط عبر الإنترنت</w:t>
            </w:r>
          </w:p>
        </w:tc>
        <w:tc>
          <w:tcPr>
            <w:tcW w:w="508" w:type="dxa"/>
            <w:shd w:val="clear" w:color="auto" w:fill="C6D9F1" w:themeFill="text2" w:themeFillTint="33"/>
            <w:vAlign w:val="center"/>
          </w:tcPr>
          <w:p w14:paraId="3464E1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5</w:t>
            </w:r>
          </w:p>
        </w:tc>
        <w:tc>
          <w:tcPr>
            <w:tcW w:w="8002" w:type="dxa"/>
            <w:gridSpan w:val="3"/>
            <w:shd w:val="clear" w:color="auto" w:fill="auto"/>
            <w:vAlign w:val="center"/>
          </w:tcPr>
          <w:p w14:paraId="2453ADB4"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جميع مضخات التفريغ الهوائي للتأكد من الأمن وبحثًا عن أي علامة مرئية على تسرب الزيت</w:t>
            </w:r>
          </w:p>
        </w:tc>
        <w:tc>
          <w:tcPr>
            <w:tcW w:w="508" w:type="dxa"/>
            <w:shd w:val="clear" w:color="auto" w:fill="C6D9F1" w:themeFill="text2" w:themeFillTint="33"/>
            <w:vAlign w:val="center"/>
          </w:tcPr>
          <w:p w14:paraId="393BA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6</w:t>
            </w:r>
          </w:p>
        </w:tc>
        <w:tc>
          <w:tcPr>
            <w:tcW w:w="8002" w:type="dxa"/>
            <w:gridSpan w:val="3"/>
            <w:shd w:val="clear" w:color="auto" w:fill="auto"/>
            <w:vAlign w:val="center"/>
          </w:tcPr>
          <w:p w14:paraId="6F3D98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مستوى زيت مضخة التفريغ يقع ضمن نطاق العمل العادي (النطاق الموصى به من الجهات المُصنِّعة للمعدات الأصلية). أبلِغ الشخص المفوَّض (نظام أنابيب الغازات الطبية) إذا كان مستوى الزيت غير صحيح أو ظهر الزيت معتمًا.</w:t>
            </w:r>
          </w:p>
        </w:tc>
        <w:tc>
          <w:tcPr>
            <w:tcW w:w="508" w:type="dxa"/>
            <w:shd w:val="clear" w:color="auto" w:fill="C6D9F1" w:themeFill="text2" w:themeFillTint="33"/>
            <w:vAlign w:val="center"/>
          </w:tcPr>
          <w:p w14:paraId="2922D1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7</w:t>
            </w:r>
          </w:p>
        </w:tc>
        <w:tc>
          <w:tcPr>
            <w:tcW w:w="8002" w:type="dxa"/>
            <w:gridSpan w:val="3"/>
            <w:shd w:val="clear" w:color="auto" w:fill="auto"/>
            <w:vAlign w:val="center"/>
          </w:tcPr>
          <w:p w14:paraId="1644DB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فلتر البكتيريا ودوارق تصريف العادم لمضخة التفريغ لضمان عدم وجود سائل</w:t>
            </w:r>
          </w:p>
        </w:tc>
        <w:tc>
          <w:tcPr>
            <w:tcW w:w="508" w:type="dxa"/>
            <w:shd w:val="clear" w:color="auto" w:fill="C6D9F1" w:themeFill="text2" w:themeFillTint="33"/>
            <w:vAlign w:val="center"/>
          </w:tcPr>
          <w:p w14:paraId="6AA873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8</w:t>
            </w:r>
          </w:p>
        </w:tc>
        <w:tc>
          <w:tcPr>
            <w:tcW w:w="8002" w:type="dxa"/>
            <w:gridSpan w:val="3"/>
            <w:shd w:val="clear" w:color="auto" w:fill="auto"/>
            <w:vAlign w:val="center"/>
          </w:tcPr>
          <w:p w14:paraId="79DC37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مخزون الغازات الطبية واختبار التسرب</w:t>
            </w:r>
          </w:p>
        </w:tc>
        <w:tc>
          <w:tcPr>
            <w:tcW w:w="508" w:type="dxa"/>
            <w:shd w:val="clear" w:color="auto" w:fill="C6D9F1" w:themeFill="text2" w:themeFillTint="33"/>
            <w:vAlign w:val="center"/>
          </w:tcPr>
          <w:p w14:paraId="1048B9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9</w:t>
            </w:r>
          </w:p>
        </w:tc>
        <w:tc>
          <w:tcPr>
            <w:tcW w:w="8002" w:type="dxa"/>
            <w:gridSpan w:val="3"/>
            <w:shd w:val="clear" w:color="auto" w:fill="auto"/>
            <w:vAlign w:val="center"/>
          </w:tcPr>
          <w:p w14:paraId="624939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التسرّب لجميع أنظمة أنابيب الغازات الطبية </w:t>
            </w:r>
          </w:p>
        </w:tc>
        <w:tc>
          <w:tcPr>
            <w:tcW w:w="508" w:type="dxa"/>
            <w:shd w:val="clear" w:color="auto" w:fill="C6D9F1" w:themeFill="text2" w:themeFillTint="33"/>
            <w:vAlign w:val="center"/>
          </w:tcPr>
          <w:p w14:paraId="2E2691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10</w:t>
            </w:r>
          </w:p>
        </w:tc>
        <w:tc>
          <w:tcPr>
            <w:tcW w:w="8002" w:type="dxa"/>
            <w:gridSpan w:val="3"/>
            <w:shd w:val="clear" w:color="auto" w:fill="auto"/>
            <w:vAlign w:val="center"/>
          </w:tcPr>
          <w:p w14:paraId="4081D8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اتصال الغازات الطبية في أنظمة إدارة المباني</w:t>
            </w:r>
          </w:p>
        </w:tc>
        <w:tc>
          <w:tcPr>
            <w:tcW w:w="508" w:type="dxa"/>
            <w:shd w:val="clear" w:color="auto" w:fill="C6D9F1" w:themeFill="text2" w:themeFillTint="33"/>
            <w:vAlign w:val="center"/>
          </w:tcPr>
          <w:p w14:paraId="505EA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11</w:t>
            </w:r>
          </w:p>
        </w:tc>
        <w:tc>
          <w:tcPr>
            <w:tcW w:w="8002" w:type="dxa"/>
            <w:gridSpan w:val="3"/>
            <w:shd w:val="clear" w:color="auto" w:fill="auto"/>
            <w:vAlign w:val="center"/>
          </w:tcPr>
          <w:p w14:paraId="7C2D158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فتح الإطار لتفريغ الغبار ونفخه للخارج</w:t>
            </w:r>
          </w:p>
        </w:tc>
        <w:tc>
          <w:tcPr>
            <w:tcW w:w="508" w:type="dxa"/>
            <w:shd w:val="clear" w:color="auto" w:fill="C6D9F1" w:themeFill="text2" w:themeFillTint="33"/>
            <w:vAlign w:val="center"/>
          </w:tcPr>
          <w:p w14:paraId="689F8C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12</w:t>
            </w:r>
          </w:p>
        </w:tc>
        <w:tc>
          <w:tcPr>
            <w:tcW w:w="8002" w:type="dxa"/>
            <w:gridSpan w:val="3"/>
            <w:shd w:val="clear" w:color="auto" w:fill="auto"/>
            <w:vAlign w:val="center"/>
          </w:tcPr>
          <w:p w14:paraId="2CC076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وحدة التحكم، وتفريغ الغبار ونفخه للخارج</w:t>
            </w:r>
          </w:p>
        </w:tc>
        <w:tc>
          <w:tcPr>
            <w:tcW w:w="508" w:type="dxa"/>
            <w:shd w:val="clear" w:color="auto" w:fill="C6D9F1" w:themeFill="text2" w:themeFillTint="33"/>
            <w:vAlign w:val="center"/>
          </w:tcPr>
          <w:p w14:paraId="6E96DB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13</w:t>
            </w:r>
          </w:p>
        </w:tc>
        <w:tc>
          <w:tcPr>
            <w:tcW w:w="8002" w:type="dxa"/>
            <w:gridSpan w:val="3"/>
            <w:shd w:val="clear" w:color="auto" w:fill="auto"/>
            <w:vAlign w:val="center"/>
          </w:tcPr>
          <w:p w14:paraId="37E9DCC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مروحة التبريد قيد التوصيل</w:t>
            </w:r>
          </w:p>
        </w:tc>
        <w:tc>
          <w:tcPr>
            <w:tcW w:w="508" w:type="dxa"/>
            <w:shd w:val="clear" w:color="auto" w:fill="C6D9F1" w:themeFill="text2" w:themeFillTint="33"/>
            <w:vAlign w:val="center"/>
          </w:tcPr>
          <w:p w14:paraId="21C7B6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14</w:t>
            </w:r>
          </w:p>
        </w:tc>
        <w:tc>
          <w:tcPr>
            <w:tcW w:w="8002" w:type="dxa"/>
            <w:gridSpan w:val="3"/>
            <w:shd w:val="clear" w:color="auto" w:fill="auto"/>
            <w:vAlign w:val="center"/>
          </w:tcPr>
          <w:p w14:paraId="5FC14F0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تنظيف المشروع، ومروحة العادم، والعدسات، وفلاتر الهواء والمرايا </w:t>
            </w:r>
          </w:p>
        </w:tc>
        <w:tc>
          <w:tcPr>
            <w:tcW w:w="508" w:type="dxa"/>
            <w:shd w:val="clear" w:color="auto" w:fill="C6D9F1" w:themeFill="text2" w:themeFillTint="33"/>
            <w:vAlign w:val="center"/>
          </w:tcPr>
          <w:p w14:paraId="1602C1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15</w:t>
            </w:r>
          </w:p>
        </w:tc>
        <w:tc>
          <w:tcPr>
            <w:tcW w:w="8002" w:type="dxa"/>
            <w:gridSpan w:val="3"/>
            <w:shd w:val="clear" w:color="auto" w:fill="auto"/>
            <w:vAlign w:val="center"/>
          </w:tcPr>
          <w:p w14:paraId="2965BD7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تأمين جميع توصيلات الطاقة والصندوق</w:t>
            </w:r>
          </w:p>
        </w:tc>
        <w:tc>
          <w:tcPr>
            <w:tcW w:w="508" w:type="dxa"/>
            <w:shd w:val="clear" w:color="auto" w:fill="C6D9F1" w:themeFill="text2" w:themeFillTint="33"/>
            <w:vAlign w:val="center"/>
          </w:tcPr>
          <w:p w14:paraId="3F2281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16</w:t>
            </w:r>
          </w:p>
        </w:tc>
        <w:tc>
          <w:tcPr>
            <w:tcW w:w="8002" w:type="dxa"/>
            <w:gridSpan w:val="3"/>
            <w:shd w:val="clear" w:color="auto" w:fill="auto"/>
            <w:vAlign w:val="center"/>
          </w:tcPr>
          <w:p w14:paraId="4B2AB74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تشعب الأسطوانات لأنظمة الإمداد الرئيسية </w:t>
            </w:r>
          </w:p>
        </w:tc>
        <w:tc>
          <w:tcPr>
            <w:tcW w:w="508" w:type="dxa"/>
            <w:shd w:val="clear" w:color="auto" w:fill="C6D9F1" w:themeFill="text2" w:themeFillTint="33"/>
            <w:vAlign w:val="center"/>
          </w:tcPr>
          <w:p w14:paraId="40C59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17</w:t>
            </w:r>
          </w:p>
        </w:tc>
        <w:tc>
          <w:tcPr>
            <w:tcW w:w="8002" w:type="dxa"/>
            <w:gridSpan w:val="3"/>
            <w:shd w:val="clear" w:color="auto" w:fill="auto"/>
            <w:vAlign w:val="center"/>
          </w:tcPr>
          <w:p w14:paraId="7CB7B6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التحكم في الضغط</w:t>
            </w:r>
          </w:p>
        </w:tc>
        <w:tc>
          <w:tcPr>
            <w:tcW w:w="508" w:type="dxa"/>
            <w:shd w:val="clear" w:color="auto" w:fill="C6D9F1" w:themeFill="text2" w:themeFillTint="33"/>
            <w:vAlign w:val="center"/>
          </w:tcPr>
          <w:p w14:paraId="2EEF76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18</w:t>
            </w:r>
          </w:p>
        </w:tc>
        <w:tc>
          <w:tcPr>
            <w:tcW w:w="8002" w:type="dxa"/>
            <w:gridSpan w:val="3"/>
            <w:shd w:val="clear" w:color="auto" w:fill="auto"/>
            <w:vAlign w:val="center"/>
          </w:tcPr>
          <w:p w14:paraId="796D731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مؤشر حالة مراقبة التشعب ومؤشر محطات الإمداد الشاملة</w:t>
            </w:r>
          </w:p>
        </w:tc>
        <w:tc>
          <w:tcPr>
            <w:tcW w:w="508" w:type="dxa"/>
            <w:shd w:val="clear" w:color="auto" w:fill="C6D9F1" w:themeFill="text2" w:themeFillTint="33"/>
            <w:vAlign w:val="center"/>
          </w:tcPr>
          <w:p w14:paraId="76E63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19</w:t>
            </w:r>
          </w:p>
        </w:tc>
        <w:tc>
          <w:tcPr>
            <w:tcW w:w="8002" w:type="dxa"/>
            <w:gridSpan w:val="3"/>
            <w:shd w:val="clear" w:color="auto" w:fill="auto"/>
            <w:vAlign w:val="center"/>
          </w:tcPr>
          <w:p w14:paraId="4D94D92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وحدة حالة إشارة التنبيه</w:t>
            </w:r>
          </w:p>
        </w:tc>
        <w:tc>
          <w:tcPr>
            <w:tcW w:w="508" w:type="dxa"/>
            <w:shd w:val="clear" w:color="auto" w:fill="C6D9F1" w:themeFill="text2" w:themeFillTint="33"/>
            <w:vAlign w:val="center"/>
          </w:tcPr>
          <w:p w14:paraId="625AC0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20</w:t>
            </w:r>
          </w:p>
        </w:tc>
        <w:tc>
          <w:tcPr>
            <w:tcW w:w="8002" w:type="dxa"/>
            <w:gridSpan w:val="3"/>
            <w:shd w:val="clear" w:color="auto" w:fill="auto"/>
            <w:vAlign w:val="center"/>
          </w:tcPr>
          <w:p w14:paraId="546FC83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أنظمة إمداد الغاز الطبي الثانوي</w:t>
            </w:r>
          </w:p>
        </w:tc>
        <w:tc>
          <w:tcPr>
            <w:tcW w:w="508" w:type="dxa"/>
            <w:shd w:val="clear" w:color="auto" w:fill="C6D9F1" w:themeFill="text2" w:themeFillTint="33"/>
            <w:vAlign w:val="center"/>
          </w:tcPr>
          <w:p w14:paraId="5F619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21</w:t>
            </w:r>
          </w:p>
        </w:tc>
        <w:tc>
          <w:tcPr>
            <w:tcW w:w="8002" w:type="dxa"/>
            <w:gridSpan w:val="3"/>
            <w:shd w:val="clear" w:color="auto" w:fill="auto"/>
            <w:vAlign w:val="center"/>
          </w:tcPr>
          <w:p w14:paraId="2EBA9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متوسط الاستخدام الحالي للغاز اليومي استنادًا إلى الإمدادات في الأشهر الاثنى عشر الأخيرة</w:t>
            </w:r>
          </w:p>
        </w:tc>
        <w:tc>
          <w:tcPr>
            <w:tcW w:w="508" w:type="dxa"/>
            <w:shd w:val="clear" w:color="auto" w:fill="C6D9F1" w:themeFill="text2" w:themeFillTint="33"/>
            <w:vAlign w:val="center"/>
          </w:tcPr>
          <w:p w14:paraId="46E9EC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22</w:t>
            </w:r>
          </w:p>
        </w:tc>
        <w:tc>
          <w:tcPr>
            <w:tcW w:w="8002" w:type="dxa"/>
            <w:gridSpan w:val="3"/>
            <w:shd w:val="clear" w:color="auto" w:fill="auto"/>
            <w:vAlign w:val="center"/>
          </w:tcPr>
          <w:p w14:paraId="220189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معاينة الحد الأقصى من أحجام الطلبات اليومية المحتملة وفقًا لذروة ظروف التدفق</w:t>
            </w:r>
          </w:p>
        </w:tc>
        <w:tc>
          <w:tcPr>
            <w:tcW w:w="508" w:type="dxa"/>
            <w:shd w:val="clear" w:color="auto" w:fill="C6D9F1" w:themeFill="text2" w:themeFillTint="33"/>
            <w:vAlign w:val="center"/>
          </w:tcPr>
          <w:p w14:paraId="3012CC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23</w:t>
            </w:r>
          </w:p>
        </w:tc>
        <w:tc>
          <w:tcPr>
            <w:tcW w:w="8002" w:type="dxa"/>
            <w:gridSpan w:val="3"/>
            <w:shd w:val="clear" w:color="auto" w:fill="auto"/>
            <w:vAlign w:val="center"/>
          </w:tcPr>
          <w:p w14:paraId="25A313D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منافذ مخارج ومداخل حالات الطوارئ</w:t>
            </w:r>
          </w:p>
        </w:tc>
        <w:tc>
          <w:tcPr>
            <w:tcW w:w="508" w:type="dxa"/>
            <w:shd w:val="clear" w:color="auto" w:fill="C6D9F1" w:themeFill="text2" w:themeFillTint="33"/>
            <w:vAlign w:val="center"/>
          </w:tcPr>
          <w:p w14:paraId="7C3C5F6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24</w:t>
            </w:r>
          </w:p>
        </w:tc>
        <w:tc>
          <w:tcPr>
            <w:tcW w:w="8002" w:type="dxa"/>
            <w:gridSpan w:val="3"/>
            <w:shd w:val="clear" w:color="auto" w:fill="auto"/>
            <w:vAlign w:val="center"/>
          </w:tcPr>
          <w:p w14:paraId="57EAF1F3" w14:textId="010DFFE9" w:rsidR="00420E1D" w:rsidRPr="00420E1D" w:rsidRDefault="00420E1D" w:rsidP="00A91C64">
            <w:pPr>
              <w:bidi/>
              <w:spacing w:before="40" w:after="40"/>
              <w:jc w:val="left"/>
              <w:rPr>
                <w:rFonts w:cs="Arial"/>
                <w:sz w:val="18"/>
                <w:szCs w:val="18"/>
              </w:rPr>
            </w:pPr>
            <w:r w:rsidRPr="00420E1D">
              <w:rPr>
                <w:rFonts w:cs="Arial"/>
                <w:sz w:val="18"/>
                <w:szCs w:val="18"/>
                <w:rtl/>
                <w:lang w:eastAsia="ar"/>
              </w:rPr>
              <w:t xml:space="preserve">التحقق من جميع الإنذارات أثناء المعاينة البصرية اليومية </w:t>
            </w:r>
          </w:p>
        </w:tc>
        <w:tc>
          <w:tcPr>
            <w:tcW w:w="508" w:type="dxa"/>
            <w:shd w:val="clear" w:color="auto" w:fill="C6D9F1" w:themeFill="text2" w:themeFillTint="33"/>
            <w:vAlign w:val="center"/>
          </w:tcPr>
          <w:p w14:paraId="6B50D2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25</w:t>
            </w:r>
          </w:p>
        </w:tc>
        <w:tc>
          <w:tcPr>
            <w:tcW w:w="8002" w:type="dxa"/>
            <w:gridSpan w:val="3"/>
            <w:shd w:val="clear" w:color="auto" w:fill="auto"/>
            <w:vAlign w:val="center"/>
          </w:tcPr>
          <w:p w14:paraId="09ED55B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مراقبة الضوضاء الصادرة عن الضاغط ومضخة التفريغ</w:t>
            </w:r>
          </w:p>
        </w:tc>
        <w:tc>
          <w:tcPr>
            <w:tcW w:w="508" w:type="dxa"/>
            <w:shd w:val="clear" w:color="auto" w:fill="C6D9F1" w:themeFill="text2" w:themeFillTint="33"/>
            <w:vAlign w:val="center"/>
          </w:tcPr>
          <w:p w14:paraId="70FE5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26</w:t>
            </w:r>
          </w:p>
        </w:tc>
        <w:tc>
          <w:tcPr>
            <w:tcW w:w="8002" w:type="dxa"/>
            <w:gridSpan w:val="3"/>
            <w:shd w:val="clear" w:color="auto" w:fill="auto"/>
            <w:vAlign w:val="center"/>
          </w:tcPr>
          <w:p w14:paraId="511B84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مؤشرات العانية بالأنظمة</w:t>
            </w:r>
          </w:p>
        </w:tc>
        <w:tc>
          <w:tcPr>
            <w:tcW w:w="508" w:type="dxa"/>
            <w:shd w:val="clear" w:color="auto" w:fill="C6D9F1" w:themeFill="text2" w:themeFillTint="33"/>
            <w:vAlign w:val="center"/>
          </w:tcPr>
          <w:p w14:paraId="27A69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27</w:t>
            </w:r>
          </w:p>
        </w:tc>
        <w:tc>
          <w:tcPr>
            <w:tcW w:w="8002" w:type="dxa"/>
            <w:gridSpan w:val="3"/>
            <w:shd w:val="clear" w:color="auto" w:fill="auto"/>
            <w:vAlign w:val="center"/>
          </w:tcPr>
          <w:p w14:paraId="36C9A1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المضغوط الطبية</w:t>
            </w:r>
          </w:p>
        </w:tc>
        <w:tc>
          <w:tcPr>
            <w:tcW w:w="508" w:type="dxa"/>
            <w:shd w:val="clear" w:color="auto" w:fill="C6D9F1" w:themeFill="text2" w:themeFillTint="33"/>
            <w:vAlign w:val="center"/>
          </w:tcPr>
          <w:p w14:paraId="704764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28</w:t>
            </w:r>
          </w:p>
        </w:tc>
        <w:tc>
          <w:tcPr>
            <w:tcW w:w="8002" w:type="dxa"/>
            <w:gridSpan w:val="3"/>
            <w:shd w:val="clear" w:color="auto" w:fill="auto"/>
            <w:vAlign w:val="center"/>
          </w:tcPr>
          <w:p w14:paraId="397E4A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المصائد، والصمامات والصمامات ذات اتجاه واحد</w:t>
            </w:r>
          </w:p>
        </w:tc>
        <w:tc>
          <w:tcPr>
            <w:tcW w:w="508" w:type="dxa"/>
            <w:shd w:val="clear" w:color="auto" w:fill="C6D9F1" w:themeFill="text2" w:themeFillTint="33"/>
            <w:vAlign w:val="center"/>
          </w:tcPr>
          <w:p w14:paraId="3D096B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29</w:t>
            </w:r>
          </w:p>
        </w:tc>
        <w:tc>
          <w:tcPr>
            <w:tcW w:w="8002" w:type="dxa"/>
            <w:gridSpan w:val="3"/>
            <w:shd w:val="clear" w:color="auto" w:fill="auto"/>
            <w:vAlign w:val="center"/>
          </w:tcPr>
          <w:p w14:paraId="3830DA5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التحكم في تدفق الأكسجين الطبي</w:t>
            </w:r>
          </w:p>
        </w:tc>
        <w:tc>
          <w:tcPr>
            <w:tcW w:w="508" w:type="dxa"/>
            <w:shd w:val="clear" w:color="auto" w:fill="C6D9F1" w:themeFill="text2" w:themeFillTint="33"/>
            <w:vAlign w:val="center"/>
          </w:tcPr>
          <w:p w14:paraId="453461E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30</w:t>
            </w:r>
          </w:p>
        </w:tc>
        <w:tc>
          <w:tcPr>
            <w:tcW w:w="8002" w:type="dxa"/>
            <w:gridSpan w:val="3"/>
            <w:shd w:val="clear" w:color="auto" w:fill="auto"/>
            <w:vAlign w:val="center"/>
          </w:tcPr>
          <w:p w14:paraId="53A253B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الجراحية</w:t>
            </w:r>
          </w:p>
        </w:tc>
        <w:tc>
          <w:tcPr>
            <w:tcW w:w="508" w:type="dxa"/>
            <w:shd w:val="clear" w:color="auto" w:fill="C6D9F1" w:themeFill="text2" w:themeFillTint="33"/>
            <w:vAlign w:val="center"/>
          </w:tcPr>
          <w:p w14:paraId="15724E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31</w:t>
            </w:r>
          </w:p>
        </w:tc>
        <w:tc>
          <w:tcPr>
            <w:tcW w:w="8002" w:type="dxa"/>
            <w:gridSpan w:val="3"/>
            <w:shd w:val="clear" w:color="auto" w:fill="auto"/>
            <w:vAlign w:val="center"/>
          </w:tcPr>
          <w:p w14:paraId="4AF4EE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أنظمة التفريغ الهوائي الطبية</w:t>
            </w:r>
          </w:p>
        </w:tc>
        <w:tc>
          <w:tcPr>
            <w:tcW w:w="508" w:type="dxa"/>
            <w:shd w:val="clear" w:color="auto" w:fill="C6D9F1" w:themeFill="text2" w:themeFillTint="33"/>
            <w:vAlign w:val="center"/>
          </w:tcPr>
          <w:p w14:paraId="316A693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523AF9">
              <w:rPr>
                <w:rFonts w:cs="Arial"/>
                <w:color w:val="000000"/>
                <w:rtl/>
                <w:lang w:eastAsia="ar"/>
              </w:rPr>
            </w:r>
            <w:r w:rsidR="00523AF9">
              <w:rPr>
                <w:rFonts w:cs="Arial"/>
                <w:color w:val="000000"/>
                <w:rtl/>
                <w:lang w:eastAsia="ar"/>
              </w:rPr>
              <w:fldChar w:fldCharType="separate"/>
            </w:r>
            <w:r w:rsidRPr="00420E1D">
              <w:rPr>
                <w:rFonts w:cs="Arial"/>
                <w:color w:val="000000"/>
                <w:rtl/>
                <w:lang w:eastAsia="ar"/>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الرقم</w:t>
            </w:r>
          </w:p>
        </w:tc>
        <w:tc>
          <w:tcPr>
            <w:tcW w:w="4332" w:type="dxa"/>
            <w:shd w:val="clear" w:color="auto" w:fill="264B5A"/>
            <w:vAlign w:val="center"/>
          </w:tcPr>
          <w:p w14:paraId="17EB7484"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ملاحظات المراجع</w:t>
            </w:r>
          </w:p>
        </w:tc>
        <w:tc>
          <w:tcPr>
            <w:tcW w:w="5203" w:type="dxa"/>
            <w:gridSpan w:val="7"/>
            <w:shd w:val="clear" w:color="auto" w:fill="264B5A"/>
            <w:vAlign w:val="center"/>
          </w:tcPr>
          <w:p w14:paraId="3EE1A486"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القرار</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bidi/>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bidi/>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المعدّ / التوقيع والتاريخ:</w:t>
            </w:r>
          </w:p>
        </w:tc>
        <w:tc>
          <w:tcPr>
            <w:tcW w:w="5203" w:type="dxa"/>
            <w:gridSpan w:val="7"/>
            <w:shd w:val="clear" w:color="auto" w:fill="auto"/>
            <w:vAlign w:val="center"/>
          </w:tcPr>
          <w:p w14:paraId="4E24E5E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المراجع / التوقيع والتاريخ:</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bidi/>
              <w:spacing w:before="40" w:after="40"/>
              <w:jc w:val="left"/>
              <w:rPr>
                <w:rFonts w:cs="Arial"/>
                <w:sz w:val="18"/>
                <w:szCs w:val="18"/>
              </w:rPr>
            </w:pPr>
          </w:p>
        </w:tc>
      </w:tr>
    </w:tbl>
    <w:p w14:paraId="40FA6124" w14:textId="77777777" w:rsidR="003C6B98" w:rsidRPr="002276F2" w:rsidRDefault="003C6B98" w:rsidP="002276F2">
      <w:pPr>
        <w:bidi/>
      </w:pPr>
    </w:p>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6D00E" w14:textId="77777777" w:rsidR="00523AF9" w:rsidRDefault="00523AF9">
      <w:r>
        <w:separator/>
      </w:r>
    </w:p>
    <w:p w14:paraId="15A8950F" w14:textId="77777777" w:rsidR="00523AF9" w:rsidRDefault="00523AF9"/>
  </w:endnote>
  <w:endnote w:type="continuationSeparator" w:id="0">
    <w:p w14:paraId="4E324B5E" w14:textId="77777777" w:rsidR="00523AF9" w:rsidRDefault="00523AF9">
      <w:r>
        <w:continuationSeparator/>
      </w:r>
    </w:p>
    <w:p w14:paraId="7A822D30" w14:textId="77777777" w:rsidR="00523AF9" w:rsidRDefault="0052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0D1A8846" w14:textId="55A08FDD" w:rsidR="007D5205" w:rsidRPr="006C1ABD" w:rsidRDefault="007D5205" w:rsidP="007D520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548B6FC6" wp14:editId="044BD6F9">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B09149"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Pr>
        <w:rFonts w:eastAsia="Arial" w:cs="Arial"/>
        <w:color w:val="7A8D95"/>
        <w:sz w:val="16"/>
        <w:szCs w:val="16"/>
      </w:rPr>
      <w:t xml:space="preserve">  </w: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A268C5DD5B1D4371B269BC70C3931D8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EOM-ZO0-TP-000017</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C75BB0C9E91244CCA8AA93E73536C523"/>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C139CFC0155049CB847CD018FFFE205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DEAAA37" w14:textId="6EB806A4" w:rsidR="007D5205" w:rsidRPr="006C1ABD" w:rsidRDefault="007D5205" w:rsidP="007D520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3</w:t>
    </w:r>
    <w:r w:rsidRPr="006C1ABD">
      <w:rPr>
        <w:rFonts w:ascii="SST Arabic" w:eastAsia="Arial" w:hAnsi="SST Arabic" w:cs="SST Arabic"/>
        <w:b/>
        <w:bCs/>
        <w:color w:val="7A8D95"/>
        <w:sz w:val="16"/>
        <w:szCs w:val="16"/>
      </w:rPr>
      <w:fldChar w:fldCharType="end"/>
    </w:r>
  </w:p>
  <w:p w14:paraId="0C2243CA" w14:textId="5517D407" w:rsidR="009210BF" w:rsidRPr="007D5205" w:rsidRDefault="007D5205" w:rsidP="007D5205">
    <w:pPr>
      <w:spacing w:after="240"/>
      <w:ind w:left="450" w:right="9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C2885" w14:textId="77777777" w:rsidR="00523AF9" w:rsidRDefault="00523AF9">
      <w:r>
        <w:separator/>
      </w:r>
    </w:p>
    <w:p w14:paraId="3D6B431E" w14:textId="77777777" w:rsidR="00523AF9" w:rsidRDefault="00523AF9"/>
  </w:footnote>
  <w:footnote w:type="continuationSeparator" w:id="0">
    <w:p w14:paraId="6B400B4D" w14:textId="77777777" w:rsidR="00523AF9" w:rsidRDefault="00523AF9">
      <w:r>
        <w:continuationSeparator/>
      </w:r>
    </w:p>
    <w:p w14:paraId="12FE891A" w14:textId="77777777" w:rsidR="00523AF9" w:rsidRDefault="00523AF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D36FDC" w14:paraId="55B15A60" w14:textId="77777777" w:rsidTr="00D36FDC">
      <w:tc>
        <w:tcPr>
          <w:tcW w:w="6845" w:type="dxa"/>
          <w:vAlign w:val="center"/>
        </w:tcPr>
        <w:p w14:paraId="361EC67C" w14:textId="39BA1FCE" w:rsidR="00D36FDC" w:rsidRPr="006A25F8" w:rsidRDefault="007D5205" w:rsidP="00B041E7">
          <w:pPr>
            <w:pStyle w:val="CPDocTitle"/>
            <w:bidi/>
            <w:jc w:val="left"/>
            <w:rPr>
              <w:kern w:val="32"/>
              <w:sz w:val="24"/>
              <w:szCs w:val="24"/>
              <w:lang w:val="en-GB"/>
            </w:rPr>
          </w:pPr>
          <w:r>
            <w:rPr>
              <w:rFonts w:hint="cs"/>
              <w:kern w:val="32"/>
              <w:sz w:val="24"/>
              <w:szCs w:val="24"/>
              <w:rtl/>
              <w:lang w:eastAsia="ar"/>
            </w:rPr>
            <w:t xml:space="preserve">         </w:t>
          </w:r>
          <w:r w:rsidR="00D36FDC" w:rsidRPr="00312A3A">
            <w:rPr>
              <w:kern w:val="32"/>
              <w:sz w:val="24"/>
              <w:szCs w:val="24"/>
              <w:rtl/>
              <w:lang w:eastAsia="ar"/>
            </w:rPr>
            <w:t xml:space="preserve">قائمة تدقيق المراقبة والفحص اليومي للأنظمة الميكانيكية </w:t>
          </w:r>
          <w:r w:rsidR="00B041E7">
            <w:rPr>
              <w:rFonts w:hint="cs"/>
              <w:kern w:val="32"/>
              <w:sz w:val="24"/>
              <w:szCs w:val="24"/>
              <w:rtl/>
              <w:lang w:eastAsia="ar"/>
            </w:rPr>
            <w:t xml:space="preserve">في </w:t>
          </w:r>
          <w:r w:rsidR="00D36FDC" w:rsidRPr="00312A3A">
            <w:rPr>
              <w:kern w:val="32"/>
              <w:sz w:val="24"/>
              <w:szCs w:val="24"/>
              <w:rtl/>
              <w:lang w:eastAsia="ar"/>
            </w:rPr>
            <w:t>المرافق البلدية</w:t>
          </w:r>
        </w:p>
      </w:tc>
    </w:tr>
  </w:tbl>
  <w:p w14:paraId="0FE4F66F" w14:textId="560C757C" w:rsidR="009210BF" w:rsidRPr="00B06260" w:rsidRDefault="00B06260" w:rsidP="00AC1B11">
    <w:pPr>
      <w:pStyle w:val="Header"/>
      <w:bidi/>
    </w:pPr>
    <w:r>
      <w:rPr>
        <w:noProof/>
        <w:lang w:eastAsia="en-US"/>
      </w:rPr>
      <w:drawing>
        <wp:anchor distT="0" distB="0" distL="114300" distR="114300" simplePos="0" relativeHeight="251658240" behindDoc="0" locked="0" layoutInCell="1" allowOverlap="1" wp14:anchorId="341E3EDB" wp14:editId="1CD2741A">
          <wp:simplePos x="0" y="0"/>
          <wp:positionH relativeFrom="column">
            <wp:posOffset>-817190</wp:posOffset>
          </wp:positionH>
          <wp:positionV relativeFrom="paragraph">
            <wp:posOffset>-441135</wp:posOffset>
          </wp:positionV>
          <wp:extent cx="1413164" cy="618515"/>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64" cy="618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04E5"/>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24D"/>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077AC"/>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A3A"/>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05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F9"/>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1855"/>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2A2D"/>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61F"/>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59A9"/>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205"/>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071E"/>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1C6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041E7"/>
    <w:rsid w:val="00B052E9"/>
    <w:rsid w:val="00B06260"/>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1A9"/>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5476"/>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6FDC"/>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4917"/>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68C5DD5B1D4371B269BC70C3931D8B"/>
        <w:category>
          <w:name w:val="General"/>
          <w:gallery w:val="placeholder"/>
        </w:category>
        <w:types>
          <w:type w:val="bbPlcHdr"/>
        </w:types>
        <w:behaviors>
          <w:behavior w:val="content"/>
        </w:behaviors>
        <w:guid w:val="{5D9B55DB-5CCE-4FDF-A0B0-DA252B1B39EF}"/>
      </w:docPartPr>
      <w:docPartBody>
        <w:p w:rsidR="00000000" w:rsidRDefault="00540C02" w:rsidP="00540C02">
          <w:pPr>
            <w:pStyle w:val="A268C5DD5B1D4371B269BC70C3931D8B"/>
          </w:pPr>
          <w:r w:rsidRPr="00D16477">
            <w:rPr>
              <w:rStyle w:val="PlaceholderText"/>
            </w:rPr>
            <w:t>[Subject]</w:t>
          </w:r>
        </w:p>
      </w:docPartBody>
    </w:docPart>
    <w:docPart>
      <w:docPartPr>
        <w:name w:val="C75BB0C9E91244CCA8AA93E73536C523"/>
        <w:category>
          <w:name w:val="General"/>
          <w:gallery w:val="placeholder"/>
        </w:category>
        <w:types>
          <w:type w:val="bbPlcHdr"/>
        </w:types>
        <w:behaviors>
          <w:behavior w:val="content"/>
        </w:behaviors>
        <w:guid w:val="{0765548C-B2AD-4711-9E07-3D0055C0BEBF}"/>
      </w:docPartPr>
      <w:docPartBody>
        <w:p w:rsidR="00000000" w:rsidRDefault="00540C02" w:rsidP="00540C02">
          <w:pPr>
            <w:pStyle w:val="C75BB0C9E91244CCA8AA93E73536C523"/>
          </w:pPr>
          <w:r w:rsidRPr="00D16477">
            <w:rPr>
              <w:rStyle w:val="PlaceholderText"/>
            </w:rPr>
            <w:t>[Status]</w:t>
          </w:r>
        </w:p>
      </w:docPartBody>
    </w:docPart>
    <w:docPart>
      <w:docPartPr>
        <w:name w:val="C139CFC0155049CB847CD018FFFE2054"/>
        <w:category>
          <w:name w:val="General"/>
          <w:gallery w:val="placeholder"/>
        </w:category>
        <w:types>
          <w:type w:val="bbPlcHdr"/>
        </w:types>
        <w:behaviors>
          <w:behavior w:val="content"/>
        </w:behaviors>
        <w:guid w:val="{A70E1FE2-E744-40E9-B150-7B9252329994}"/>
      </w:docPartPr>
      <w:docPartBody>
        <w:p w:rsidR="00000000" w:rsidRDefault="00540C02" w:rsidP="00540C02">
          <w:pPr>
            <w:pStyle w:val="C139CFC0155049CB847CD018FFFE205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02"/>
    <w:rsid w:val="000B4BE4"/>
    <w:rsid w:val="00540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40C02"/>
    <w:rPr>
      <w:color w:val="808080"/>
    </w:rPr>
  </w:style>
  <w:style w:type="paragraph" w:customStyle="1" w:styleId="A268C5DD5B1D4371B269BC70C3931D8B">
    <w:name w:val="A268C5DD5B1D4371B269BC70C3931D8B"/>
    <w:rsid w:val="00540C02"/>
    <w:pPr>
      <w:bidi/>
    </w:pPr>
  </w:style>
  <w:style w:type="paragraph" w:customStyle="1" w:styleId="C75BB0C9E91244CCA8AA93E73536C523">
    <w:name w:val="C75BB0C9E91244CCA8AA93E73536C523"/>
    <w:rsid w:val="00540C02"/>
    <w:pPr>
      <w:bidi/>
    </w:pPr>
  </w:style>
  <w:style w:type="paragraph" w:customStyle="1" w:styleId="C139CFC0155049CB847CD018FFFE2054">
    <w:name w:val="C139CFC0155049CB847CD018FFFE2054"/>
    <w:rsid w:val="00540C0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69A3-0254-4262-B854-C37ABF0AC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0FD1FC-ADCB-4F48-A779-9D48EF49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44</TotalTime>
  <Pages>7</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22192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EOM-ZO0-TP-000017</dc:subject>
  <dc:creator>Rivamonte, Leonnito (RMP)</dc:creator>
  <cp:keywords>ᅟ</cp:keywords>
  <cp:lastModifiedBy>الاء الزهراني Alaa Alzahrani</cp:lastModifiedBy>
  <cp:revision>67</cp:revision>
  <cp:lastPrinted>2017-10-17T10:11:00Z</cp:lastPrinted>
  <dcterms:created xsi:type="dcterms:W3CDTF">2019-12-16T06:44:00Z</dcterms:created>
  <dcterms:modified xsi:type="dcterms:W3CDTF">2022-01-30T14:57:00Z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